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060" w:rsidRPr="00C60A4E" w:rsidRDefault="00472060" w:rsidP="00006427">
      <w:pPr>
        <w:ind w:left="-567"/>
        <w:rPr>
          <w:rFonts w:ascii="Uni Neue Regular" w:hAnsi="Uni Neue Regular"/>
          <w:sz w:val="20"/>
          <w:szCs w:val="20"/>
          <w:lang w:val="en-US"/>
        </w:rPr>
      </w:pPr>
      <w:bookmarkStart w:id="0" w:name="_GoBack"/>
      <w:bookmarkEnd w:id="0"/>
    </w:p>
    <w:p w:rsidR="00531C58" w:rsidRPr="00C60A4E" w:rsidRDefault="00531C58" w:rsidP="00006427">
      <w:pPr>
        <w:ind w:left="-567"/>
        <w:rPr>
          <w:rFonts w:ascii="Uni Neue Regular" w:hAnsi="Uni Neue Regular"/>
          <w:sz w:val="20"/>
          <w:szCs w:val="20"/>
          <w:lang w:val="en-US"/>
        </w:rPr>
      </w:pPr>
    </w:p>
    <w:p w:rsidR="005F388F" w:rsidRPr="00C60A4E" w:rsidRDefault="005F388F" w:rsidP="005F388F">
      <w:pPr>
        <w:jc w:val="center"/>
        <w:rPr>
          <w:rFonts w:ascii="Uni Neue Regular" w:hAnsi="Uni Neue Regular"/>
          <w:b/>
          <w:sz w:val="20"/>
          <w:szCs w:val="20"/>
        </w:rPr>
      </w:pPr>
      <w:r w:rsidRPr="00C60A4E">
        <w:rPr>
          <w:rFonts w:ascii="Uni Neue Regular" w:hAnsi="Uni Neue Regular"/>
          <w:b/>
          <w:sz w:val="20"/>
          <w:szCs w:val="20"/>
        </w:rPr>
        <w:t>Tata Ace Gold Petrol</w:t>
      </w:r>
    </w:p>
    <w:p w:rsidR="005F388F" w:rsidRPr="00C60A4E" w:rsidRDefault="005F388F" w:rsidP="005F388F">
      <w:pPr>
        <w:jc w:val="center"/>
        <w:rPr>
          <w:rFonts w:ascii="Uni Neue Regular" w:hAnsi="Uni Neue Regular"/>
          <w:b/>
          <w:sz w:val="20"/>
          <w:szCs w:val="20"/>
        </w:rPr>
      </w:pPr>
    </w:p>
    <w:p w:rsidR="005F388F" w:rsidRPr="00C60A4E" w:rsidRDefault="005F388F" w:rsidP="005F388F">
      <w:pPr>
        <w:jc w:val="both"/>
        <w:rPr>
          <w:rFonts w:ascii="Uni Neue Regular" w:hAnsi="Uni Neue Regular"/>
          <w:sz w:val="20"/>
          <w:szCs w:val="20"/>
        </w:rPr>
      </w:pPr>
      <w:r w:rsidRPr="00C60A4E">
        <w:rPr>
          <w:rFonts w:ascii="Uni Neue Regular" w:hAnsi="Uni Neue Regular"/>
          <w:sz w:val="20"/>
          <w:szCs w:val="20"/>
        </w:rPr>
        <w:t xml:space="preserve">In 2005, Tata Motors pioneered the small commercial vehicle industry with the launch of Tata Ace, which revolutionised the last-mile delivery in the Indian market. Since its launch, Tata Ace has emerged as the trusted partner of more than 22 lakh entrepreneurs and is the single largest commercial vehicle brand in the country. Tata Ace has also provided significant social and economic benefit to its customers as a vehicle for self-employment.  </w:t>
      </w:r>
    </w:p>
    <w:p w:rsidR="005F388F" w:rsidRPr="00C60A4E" w:rsidRDefault="005F388F" w:rsidP="005F388F">
      <w:pPr>
        <w:jc w:val="both"/>
        <w:rPr>
          <w:rFonts w:ascii="Uni Neue Regular" w:hAnsi="Uni Neue Regular"/>
          <w:sz w:val="20"/>
          <w:szCs w:val="20"/>
        </w:rPr>
      </w:pPr>
    </w:p>
    <w:p w:rsidR="005F388F" w:rsidRPr="00C60A4E" w:rsidRDefault="005F388F" w:rsidP="005F388F">
      <w:pPr>
        <w:jc w:val="both"/>
        <w:rPr>
          <w:rFonts w:ascii="Uni Neue Regular" w:hAnsi="Uni Neue Regular"/>
          <w:sz w:val="20"/>
          <w:szCs w:val="20"/>
        </w:rPr>
      </w:pPr>
      <w:r w:rsidRPr="00C60A4E">
        <w:rPr>
          <w:rFonts w:ascii="Uni Neue Regular" w:hAnsi="Uni Neue Regular"/>
          <w:sz w:val="20"/>
          <w:szCs w:val="20"/>
        </w:rPr>
        <w:t>Continuing with the legacy of providing pioneering and innovative products to its discerning customers, Tata Motors now launches the Petrol variant of Tata Ace Gold with BSVI technology. Tata Ace Gold with the new petrol power train offers superior value proposition to its customers helping them to earn more.</w:t>
      </w:r>
    </w:p>
    <w:p w:rsidR="005F388F" w:rsidRPr="00C60A4E" w:rsidRDefault="005F388F" w:rsidP="005F388F">
      <w:pPr>
        <w:jc w:val="both"/>
        <w:rPr>
          <w:rFonts w:ascii="Uni Neue Regular" w:hAnsi="Uni Neue Regular"/>
          <w:b/>
          <w:sz w:val="20"/>
          <w:szCs w:val="20"/>
        </w:rPr>
      </w:pPr>
    </w:p>
    <w:p w:rsidR="005F388F" w:rsidRPr="00C60A4E" w:rsidRDefault="005F388F" w:rsidP="005F388F">
      <w:pPr>
        <w:jc w:val="both"/>
        <w:rPr>
          <w:rFonts w:ascii="Uni Neue Regular" w:hAnsi="Uni Neue Regular"/>
          <w:b/>
          <w:sz w:val="20"/>
          <w:szCs w:val="20"/>
        </w:rPr>
      </w:pPr>
      <w:r w:rsidRPr="00C60A4E">
        <w:rPr>
          <w:rFonts w:ascii="Uni Neue Regular" w:hAnsi="Uni Neue Regular"/>
          <w:b/>
          <w:sz w:val="20"/>
          <w:szCs w:val="20"/>
        </w:rPr>
        <w:t>USPs:</w:t>
      </w:r>
    </w:p>
    <w:p w:rsidR="005F388F" w:rsidRPr="00C60A4E" w:rsidRDefault="005F388F" w:rsidP="005F388F">
      <w:pPr>
        <w:pStyle w:val="ListParagraph"/>
        <w:numPr>
          <w:ilvl w:val="0"/>
          <w:numId w:val="1"/>
        </w:numPr>
        <w:jc w:val="both"/>
        <w:rPr>
          <w:rFonts w:ascii="Uni Neue Regular" w:hAnsi="Uni Neue Regular"/>
          <w:sz w:val="20"/>
          <w:szCs w:val="20"/>
          <w:lang w:val="en-IN"/>
        </w:rPr>
      </w:pPr>
      <w:r w:rsidRPr="00C60A4E">
        <w:rPr>
          <w:rFonts w:ascii="Uni Neue Regular" w:hAnsi="Uni Neue Regular"/>
          <w:sz w:val="20"/>
          <w:szCs w:val="20"/>
          <w:lang w:val="en-IN"/>
        </w:rPr>
        <w:t>Power packed engine, delivering 22 Kw (30HP) power and 55Nm torque</w:t>
      </w:r>
    </w:p>
    <w:p w:rsidR="005F388F" w:rsidRPr="00C60A4E" w:rsidRDefault="005F388F" w:rsidP="005F388F">
      <w:pPr>
        <w:pStyle w:val="ListParagraph"/>
        <w:numPr>
          <w:ilvl w:val="0"/>
          <w:numId w:val="1"/>
        </w:numPr>
        <w:jc w:val="both"/>
        <w:rPr>
          <w:rFonts w:ascii="Uni Neue Regular" w:hAnsi="Uni Neue Regular"/>
          <w:sz w:val="20"/>
          <w:szCs w:val="20"/>
          <w:lang w:val="en-IN"/>
        </w:rPr>
      </w:pPr>
      <w:r w:rsidRPr="00C60A4E">
        <w:rPr>
          <w:rFonts w:ascii="Uni Neue Regular" w:hAnsi="Uni Neue Regular"/>
          <w:sz w:val="20"/>
          <w:szCs w:val="20"/>
          <w:lang w:val="en-IN"/>
        </w:rPr>
        <w:t>Payload of 750 Kg</w:t>
      </w:r>
    </w:p>
    <w:p w:rsidR="005F388F" w:rsidRPr="00C60A4E" w:rsidRDefault="005F388F" w:rsidP="005F388F">
      <w:pPr>
        <w:pStyle w:val="ListParagraph"/>
        <w:numPr>
          <w:ilvl w:val="0"/>
          <w:numId w:val="1"/>
        </w:numPr>
        <w:jc w:val="both"/>
        <w:rPr>
          <w:rFonts w:ascii="Uni Neue Regular" w:hAnsi="Uni Neue Regular"/>
          <w:sz w:val="20"/>
          <w:szCs w:val="20"/>
          <w:lang w:val="en-IN"/>
        </w:rPr>
      </w:pPr>
      <w:r w:rsidRPr="00C60A4E">
        <w:rPr>
          <w:rFonts w:ascii="Uni Neue Regular" w:hAnsi="Uni Neue Regular"/>
          <w:sz w:val="20"/>
          <w:szCs w:val="20"/>
          <w:lang w:val="en-IN"/>
        </w:rPr>
        <w:t>Gear Shift Advisor and Eco Switch for high fuel efficiency</w:t>
      </w:r>
    </w:p>
    <w:p w:rsidR="005F388F" w:rsidRPr="00C60A4E" w:rsidRDefault="005F388F" w:rsidP="005F388F">
      <w:pPr>
        <w:pStyle w:val="ListParagraph"/>
        <w:numPr>
          <w:ilvl w:val="0"/>
          <w:numId w:val="1"/>
        </w:numPr>
        <w:jc w:val="both"/>
        <w:rPr>
          <w:rFonts w:ascii="Uni Neue Regular" w:hAnsi="Uni Neue Regular"/>
          <w:sz w:val="20"/>
          <w:szCs w:val="20"/>
          <w:lang w:val="en-IN"/>
        </w:rPr>
      </w:pPr>
      <w:r w:rsidRPr="00C60A4E">
        <w:rPr>
          <w:rFonts w:ascii="Uni Neue Regular" w:hAnsi="Uni Neue Regular"/>
          <w:sz w:val="20"/>
          <w:szCs w:val="20"/>
          <w:lang w:val="en-IN"/>
        </w:rPr>
        <w:t>Digital Display Cluster</w:t>
      </w:r>
    </w:p>
    <w:p w:rsidR="005F388F" w:rsidRPr="00C60A4E" w:rsidRDefault="005F388F" w:rsidP="005F388F">
      <w:pPr>
        <w:pStyle w:val="ListParagraph"/>
        <w:numPr>
          <w:ilvl w:val="0"/>
          <w:numId w:val="1"/>
        </w:numPr>
        <w:jc w:val="both"/>
        <w:rPr>
          <w:rFonts w:ascii="Uni Neue Regular" w:hAnsi="Uni Neue Regular"/>
          <w:sz w:val="20"/>
          <w:szCs w:val="20"/>
          <w:lang w:val="en-IN"/>
        </w:rPr>
      </w:pPr>
      <w:r w:rsidRPr="00C60A4E">
        <w:rPr>
          <w:rFonts w:ascii="Uni Neue Regular" w:hAnsi="Uni Neue Regular"/>
          <w:sz w:val="20"/>
          <w:szCs w:val="20"/>
          <w:lang w:val="en-IN"/>
        </w:rPr>
        <w:t>Features – Large Lockable Glove Box, USB Charger</w:t>
      </w:r>
    </w:p>
    <w:p w:rsidR="005F388F" w:rsidRPr="00C60A4E" w:rsidRDefault="005F388F" w:rsidP="005F388F">
      <w:pPr>
        <w:pStyle w:val="ListParagraph"/>
        <w:numPr>
          <w:ilvl w:val="0"/>
          <w:numId w:val="1"/>
        </w:numPr>
        <w:rPr>
          <w:rFonts w:ascii="Uni Neue Regular" w:hAnsi="Uni Neue Regular"/>
          <w:sz w:val="20"/>
          <w:szCs w:val="20"/>
          <w:lang w:val="en-IN"/>
        </w:rPr>
      </w:pPr>
      <w:r w:rsidRPr="00C60A4E">
        <w:rPr>
          <w:rFonts w:ascii="Uni Neue Regular" w:hAnsi="Uni Neue Regular"/>
          <w:sz w:val="20"/>
          <w:szCs w:val="20"/>
          <w:lang w:val="en-IN"/>
        </w:rPr>
        <w:t xml:space="preserve">Warranty of 2 years / 72000 </w:t>
      </w:r>
      <w:proofErr w:type="spellStart"/>
      <w:r w:rsidRPr="00C60A4E">
        <w:rPr>
          <w:rFonts w:ascii="Uni Neue Regular" w:hAnsi="Uni Neue Regular"/>
          <w:sz w:val="20"/>
          <w:szCs w:val="20"/>
          <w:lang w:val="en-IN"/>
        </w:rPr>
        <w:t>Kms</w:t>
      </w:r>
      <w:proofErr w:type="spellEnd"/>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jc w:val="both"/>
        <w:rPr>
          <w:rFonts w:ascii="Uni Neue Regular" w:hAnsi="Uni Neue Regular"/>
          <w:sz w:val="20"/>
          <w:szCs w:val="20"/>
        </w:rPr>
      </w:pPr>
      <w:r w:rsidRPr="00C60A4E">
        <w:rPr>
          <w:rFonts w:ascii="Uni Neue Regular" w:hAnsi="Uni Neue Regular"/>
          <w:b/>
          <w:sz w:val="20"/>
          <w:szCs w:val="20"/>
        </w:rPr>
        <w:t xml:space="preserve">Applications: </w:t>
      </w:r>
      <w:r w:rsidRPr="00C60A4E">
        <w:rPr>
          <w:rFonts w:ascii="Uni Neue Regular" w:hAnsi="Uni Neue Regular"/>
          <w:sz w:val="20"/>
          <w:szCs w:val="20"/>
        </w:rPr>
        <w:t>Distribution of fruits &amp; vegetables, furniture, consumer products, bottled water, Gas cylinders, FMCG, Milk &amp; Diary products, Cold drinks, Textiles, bakery, Pharma, Tent House &amp; Catering, Plastics, scrap, Waste management applications</w:t>
      </w: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Default="005F388F" w:rsidP="005F388F">
      <w:pPr>
        <w:rPr>
          <w:rFonts w:ascii="Uni Neue Regular" w:hAnsi="Uni Neue Regular"/>
          <w:b/>
          <w:sz w:val="20"/>
          <w:szCs w:val="20"/>
        </w:rPr>
      </w:pPr>
    </w:p>
    <w:p w:rsidR="00C60A4E" w:rsidRDefault="00C60A4E" w:rsidP="005F388F">
      <w:pPr>
        <w:rPr>
          <w:rFonts w:ascii="Uni Neue Regular" w:hAnsi="Uni Neue Regular"/>
          <w:b/>
          <w:sz w:val="20"/>
          <w:szCs w:val="20"/>
        </w:rPr>
      </w:pPr>
    </w:p>
    <w:p w:rsidR="00C60A4E" w:rsidRDefault="00C60A4E" w:rsidP="005F388F">
      <w:pPr>
        <w:rPr>
          <w:rFonts w:ascii="Uni Neue Regular" w:hAnsi="Uni Neue Regular"/>
          <w:b/>
          <w:sz w:val="20"/>
          <w:szCs w:val="20"/>
        </w:rPr>
      </w:pPr>
    </w:p>
    <w:p w:rsidR="00C60A4E" w:rsidRDefault="00C60A4E" w:rsidP="005F388F">
      <w:pPr>
        <w:rPr>
          <w:rFonts w:ascii="Uni Neue Regular" w:hAnsi="Uni Neue Regular"/>
          <w:b/>
          <w:sz w:val="20"/>
          <w:szCs w:val="20"/>
        </w:rPr>
      </w:pPr>
    </w:p>
    <w:p w:rsidR="00C60A4E" w:rsidRDefault="00C60A4E" w:rsidP="005F388F">
      <w:pPr>
        <w:rPr>
          <w:rFonts w:ascii="Uni Neue Regular" w:hAnsi="Uni Neue Regular"/>
          <w:b/>
          <w:sz w:val="20"/>
          <w:szCs w:val="20"/>
        </w:rPr>
      </w:pPr>
    </w:p>
    <w:p w:rsidR="00C60A4E" w:rsidRPr="00C60A4E" w:rsidRDefault="00C60A4E"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p>
    <w:p w:rsidR="005F388F" w:rsidRPr="00C60A4E" w:rsidRDefault="005F388F" w:rsidP="005F388F">
      <w:pPr>
        <w:rPr>
          <w:rFonts w:ascii="Uni Neue Regular" w:hAnsi="Uni Neue Regular"/>
          <w:b/>
          <w:sz w:val="20"/>
          <w:szCs w:val="20"/>
        </w:rPr>
      </w:pPr>
      <w:r w:rsidRPr="00C60A4E">
        <w:rPr>
          <w:rFonts w:ascii="Uni Neue Regular" w:hAnsi="Uni Neue Regular"/>
          <w:b/>
          <w:sz w:val="20"/>
          <w:szCs w:val="20"/>
        </w:rPr>
        <w:t>Technical Specifications:</w:t>
      </w:r>
    </w:p>
    <w:p w:rsidR="005F388F" w:rsidRPr="00C60A4E" w:rsidRDefault="005F388F" w:rsidP="005F388F">
      <w:pPr>
        <w:rPr>
          <w:rFonts w:ascii="Uni Neue Regular" w:hAnsi="Uni Neue Regular"/>
          <w:b/>
          <w:sz w:val="20"/>
          <w:szCs w:val="20"/>
        </w:rPr>
      </w:pPr>
    </w:p>
    <w:tbl>
      <w:tblPr>
        <w:tblW w:w="7790" w:type="dxa"/>
        <w:tblInd w:w="-3" w:type="dxa"/>
        <w:tblCellMar>
          <w:left w:w="0" w:type="dxa"/>
          <w:right w:w="0" w:type="dxa"/>
        </w:tblCellMar>
        <w:tblLook w:val="04A0" w:firstRow="1" w:lastRow="0" w:firstColumn="1" w:lastColumn="0" w:noHBand="0" w:noVBand="1"/>
      </w:tblPr>
      <w:tblGrid>
        <w:gridCol w:w="2545"/>
        <w:gridCol w:w="5245"/>
      </w:tblGrid>
      <w:tr w:rsidR="005F388F" w:rsidRPr="00C60A4E" w:rsidTr="002E6864">
        <w:trPr>
          <w:trHeight w:val="296"/>
        </w:trPr>
        <w:tc>
          <w:tcPr>
            <w:tcW w:w="2545" w:type="dxa"/>
            <w:tcBorders>
              <w:top w:val="single" w:sz="8" w:space="0" w:color="auto"/>
              <w:left w:val="single" w:sz="8" w:space="0" w:color="auto"/>
              <w:bottom w:val="single" w:sz="8" w:space="0" w:color="auto"/>
              <w:right w:val="single" w:sz="8" w:space="0" w:color="auto"/>
            </w:tcBorders>
            <w:shd w:val="clear" w:color="auto" w:fill="DEEAF6" w:themeFill="accent5" w:themeFillTint="33"/>
            <w:noWrap/>
            <w:tcMar>
              <w:top w:w="0" w:type="dxa"/>
              <w:left w:w="108" w:type="dxa"/>
              <w:bottom w:w="0" w:type="dxa"/>
              <w:right w:w="108" w:type="dxa"/>
            </w:tcMar>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Parameter</w:t>
            </w:r>
          </w:p>
        </w:tc>
        <w:tc>
          <w:tcPr>
            <w:tcW w:w="5245" w:type="dxa"/>
            <w:tcBorders>
              <w:top w:val="single" w:sz="8" w:space="0" w:color="auto"/>
              <w:left w:val="nil"/>
              <w:bottom w:val="single" w:sz="8" w:space="0" w:color="auto"/>
              <w:right w:val="single" w:sz="8" w:space="0" w:color="auto"/>
            </w:tcBorders>
            <w:shd w:val="clear" w:color="auto" w:fill="DEEAF6" w:themeFill="accent5" w:themeFillTint="33"/>
            <w:tcMar>
              <w:top w:w="0" w:type="dxa"/>
              <w:left w:w="108" w:type="dxa"/>
              <w:bottom w:w="0" w:type="dxa"/>
              <w:right w:w="108" w:type="dxa"/>
            </w:tcMar>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Description</w:t>
            </w:r>
          </w:p>
        </w:tc>
      </w:tr>
      <w:tr w:rsidR="005F388F" w:rsidRPr="00C60A4E" w:rsidTr="002E6864">
        <w:trPr>
          <w:trHeight w:val="318"/>
        </w:trPr>
        <w:tc>
          <w:tcPr>
            <w:tcW w:w="2545"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Engine</w:t>
            </w:r>
          </w:p>
        </w:tc>
        <w:tc>
          <w:tcPr>
            <w:tcW w:w="52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Tata 275 Gasoline MPFI BSVI, 4 Stroke Water cooled</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Max Power</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22 Kw (30 PS) @ 4000 rpm</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Max Torque</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55 Nm @ 2500-3000 rpm</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Clutch</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Single plate dry friction diaphragm type</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Suspension Front</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Parabolic leaf spring</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Suspension Rear</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sz w:val="20"/>
                <w:szCs w:val="20"/>
              </w:rPr>
            </w:pPr>
            <w:r w:rsidRPr="00C60A4E">
              <w:rPr>
                <w:rFonts w:ascii="Uni Neue Regular" w:hAnsi="Uni Neue Regular"/>
                <w:sz w:val="20"/>
                <w:szCs w:val="20"/>
              </w:rPr>
              <w:t>Semi-elliptical leaf spring</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Tyres</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145R12 LT 8PR RADIAL (Tube &amp; Tubeless)</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shd w:val="clear" w:color="auto" w:fill="DEEAF6" w:themeFill="accent5" w:themeFillTint="33"/>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Dimensions (mm)</w:t>
            </w:r>
          </w:p>
        </w:tc>
        <w:tc>
          <w:tcPr>
            <w:tcW w:w="5245" w:type="dxa"/>
            <w:tcBorders>
              <w:top w:val="nil"/>
              <w:left w:val="nil"/>
              <w:bottom w:val="single" w:sz="8" w:space="0" w:color="auto"/>
              <w:right w:val="single" w:sz="8" w:space="0" w:color="auto"/>
            </w:tcBorders>
            <w:shd w:val="clear" w:color="auto" w:fill="DEEAF6" w:themeFill="accent5" w:themeFillTint="33"/>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Length</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3800 mm</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Width</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1500 mm</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Height</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1840 (</w:t>
            </w:r>
            <w:proofErr w:type="spellStart"/>
            <w:r w:rsidRPr="00C60A4E">
              <w:rPr>
                <w:rFonts w:ascii="Uni Neue Regular" w:hAnsi="Uni Neue Regular"/>
                <w:color w:val="000000"/>
                <w:sz w:val="20"/>
                <w:szCs w:val="20"/>
              </w:rPr>
              <w:t>unladen</w:t>
            </w:r>
            <w:proofErr w:type="spellEnd"/>
            <w:r w:rsidRPr="00C60A4E">
              <w:rPr>
                <w:rFonts w:ascii="Uni Neue Regular" w:hAnsi="Uni Neue Regular"/>
                <w:color w:val="000000"/>
                <w:sz w:val="20"/>
                <w:szCs w:val="20"/>
              </w:rPr>
              <w:t>) mm</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Wheelbase</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2100 mm</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Cargo Box Dimensions</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2200 X 1490 X 300 mm</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Min TCR</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4300</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shd w:val="clear" w:color="auto" w:fill="DEEAF6" w:themeFill="accent5" w:themeFillTint="33"/>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Weight</w:t>
            </w:r>
          </w:p>
        </w:tc>
        <w:tc>
          <w:tcPr>
            <w:tcW w:w="5245" w:type="dxa"/>
            <w:tcBorders>
              <w:top w:val="nil"/>
              <w:left w:val="nil"/>
              <w:bottom w:val="single" w:sz="8" w:space="0" w:color="auto"/>
              <w:right w:val="single" w:sz="8" w:space="0" w:color="auto"/>
            </w:tcBorders>
            <w:shd w:val="clear" w:color="auto" w:fill="DEEAF6" w:themeFill="accent5" w:themeFillTint="33"/>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Max GVW</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1615kg</w:t>
            </w:r>
          </w:p>
        </w:tc>
      </w:tr>
      <w:tr w:rsidR="005F388F" w:rsidRPr="00C60A4E" w:rsidTr="002E6864">
        <w:trPr>
          <w:trHeight w:val="300"/>
        </w:trPr>
        <w:tc>
          <w:tcPr>
            <w:tcW w:w="254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Kerb Weight</w:t>
            </w:r>
          </w:p>
        </w:tc>
        <w:tc>
          <w:tcPr>
            <w:tcW w:w="5245" w:type="dxa"/>
            <w:tcBorders>
              <w:top w:val="nil"/>
              <w:left w:val="nil"/>
              <w:bottom w:val="single" w:sz="8" w:space="0" w:color="auto"/>
              <w:right w:val="single" w:sz="8" w:space="0" w:color="auto"/>
            </w:tcBorders>
            <w:tcMar>
              <w:top w:w="0" w:type="dxa"/>
              <w:left w:w="108" w:type="dxa"/>
              <w:bottom w:w="0" w:type="dxa"/>
              <w:right w:w="108" w:type="dxa"/>
            </w:tcMar>
            <w:hideMark/>
          </w:tcPr>
          <w:p w:rsidR="005F388F" w:rsidRPr="00C60A4E" w:rsidRDefault="005F388F" w:rsidP="002E6864">
            <w:pPr>
              <w:jc w:val="center"/>
              <w:rPr>
                <w:rFonts w:ascii="Uni Neue Regular" w:hAnsi="Uni Neue Regular"/>
                <w:color w:val="000000"/>
                <w:sz w:val="20"/>
                <w:szCs w:val="20"/>
              </w:rPr>
            </w:pPr>
            <w:r w:rsidRPr="00C60A4E">
              <w:rPr>
                <w:rFonts w:ascii="Uni Neue Regular" w:hAnsi="Uni Neue Regular"/>
                <w:color w:val="000000"/>
                <w:sz w:val="20"/>
                <w:szCs w:val="20"/>
              </w:rPr>
              <w:t>865kg</w:t>
            </w:r>
          </w:p>
        </w:tc>
      </w:tr>
    </w:tbl>
    <w:p w:rsidR="005F388F" w:rsidRPr="00C60A4E" w:rsidRDefault="005F388F" w:rsidP="005F388F">
      <w:pPr>
        <w:rPr>
          <w:rFonts w:ascii="Uni Neue Regular" w:hAnsi="Uni Neue Regular"/>
          <w:sz w:val="20"/>
          <w:szCs w:val="20"/>
        </w:rPr>
      </w:pPr>
    </w:p>
    <w:p w:rsidR="00531C58" w:rsidRPr="00C60A4E" w:rsidRDefault="00531C58" w:rsidP="00006427">
      <w:pPr>
        <w:ind w:left="-567"/>
        <w:rPr>
          <w:rFonts w:ascii="Uni Neue Regular" w:hAnsi="Uni Neue Regular"/>
          <w:sz w:val="20"/>
          <w:szCs w:val="20"/>
          <w:lang w:val="en-US"/>
        </w:rPr>
      </w:pPr>
    </w:p>
    <w:p w:rsidR="00006427" w:rsidRPr="00C60A4E" w:rsidRDefault="00006427" w:rsidP="005F388F">
      <w:pPr>
        <w:rPr>
          <w:rFonts w:ascii="Uni Neue Regular" w:hAnsi="Uni Neue Regular"/>
          <w:sz w:val="20"/>
          <w:szCs w:val="20"/>
          <w:lang w:val="en-US"/>
        </w:rPr>
      </w:pPr>
    </w:p>
    <w:sectPr w:rsidR="00006427" w:rsidRPr="00C60A4E"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FEC" w:rsidRDefault="000F6FEC" w:rsidP="00006427">
      <w:r>
        <w:separator/>
      </w:r>
    </w:p>
  </w:endnote>
  <w:endnote w:type="continuationSeparator" w:id="0">
    <w:p w:rsidR="000F6FEC" w:rsidRDefault="000F6FEC"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altName w:val="Arial"/>
    <w:panose1 w:val="00000000000000000000"/>
    <w:charset w:val="00"/>
    <w:family w:val="modern"/>
    <w:notTrueType/>
    <w:pitch w:val="variable"/>
    <w:sig w:usb0="A00002EF" w:usb1="0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FEC" w:rsidRDefault="000F6FEC" w:rsidP="00006427">
      <w:r>
        <w:separator/>
      </w:r>
    </w:p>
  </w:footnote>
  <w:footnote w:type="continuationSeparator" w:id="0">
    <w:p w:rsidR="000F6FEC" w:rsidRDefault="000F6FEC"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6E2841"/>
    <w:multiLevelType w:val="hybridMultilevel"/>
    <w:tmpl w:val="179AC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0F6FEC"/>
    <w:rsid w:val="00262346"/>
    <w:rsid w:val="00282F89"/>
    <w:rsid w:val="002E48A5"/>
    <w:rsid w:val="003704AE"/>
    <w:rsid w:val="004407A9"/>
    <w:rsid w:val="00472060"/>
    <w:rsid w:val="00531C58"/>
    <w:rsid w:val="005F388F"/>
    <w:rsid w:val="0084682F"/>
    <w:rsid w:val="00882F91"/>
    <w:rsid w:val="00905960"/>
    <w:rsid w:val="00A66BEF"/>
    <w:rsid w:val="00C60A4E"/>
    <w:rsid w:val="00CF357C"/>
    <w:rsid w:val="00D33337"/>
    <w:rsid w:val="00DB0F62"/>
    <w:rsid w:val="00E31BF8"/>
    <w:rsid w:val="00E90B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1A893D"/>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ListParagraph">
    <w:name w:val="List Paragraph"/>
    <w:basedOn w:val="Normal"/>
    <w:uiPriority w:val="34"/>
    <w:qFormat/>
    <w:rsid w:val="005F388F"/>
    <w:pPr>
      <w:ind w:left="720"/>
      <w:contextualSpacing/>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4</cp:revision>
  <dcterms:created xsi:type="dcterms:W3CDTF">2020-01-31T10:58:00Z</dcterms:created>
  <dcterms:modified xsi:type="dcterms:W3CDTF">2020-02-04T15:04:00Z</dcterms:modified>
</cp:coreProperties>
</file>