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A87" w:rsidRPr="00697D24" w:rsidRDefault="00A37A87" w:rsidP="00A37A87">
      <w:pPr>
        <w:spacing w:after="160" w:line="259" w:lineRule="auto"/>
        <w:rPr>
          <w:rFonts w:ascii="Uni Neue Regular" w:hAnsi="Uni Neue Regular"/>
          <w:b/>
          <w:sz w:val="20"/>
          <w:szCs w:val="20"/>
        </w:rPr>
      </w:pPr>
    </w:p>
    <w:p w:rsidR="00A37A87" w:rsidRPr="00697D24" w:rsidRDefault="00A37A87" w:rsidP="00A37A87">
      <w:pPr>
        <w:spacing w:after="160" w:line="259" w:lineRule="auto"/>
        <w:jc w:val="center"/>
        <w:rPr>
          <w:rFonts w:ascii="Uni Neue Regular" w:hAnsi="Uni Neue Regular"/>
          <w:b/>
          <w:sz w:val="20"/>
          <w:szCs w:val="20"/>
        </w:rPr>
      </w:pPr>
      <w:r w:rsidRPr="00697D24">
        <w:rPr>
          <w:rFonts w:ascii="Uni Neue Regular" w:hAnsi="Uni Neue Regular"/>
          <w:b/>
          <w:sz w:val="20"/>
          <w:szCs w:val="20"/>
        </w:rPr>
        <w:t>Tata Ultra T.7 Electric Truck</w:t>
      </w:r>
    </w:p>
    <w:p w:rsidR="00A37A87" w:rsidRPr="00697D24" w:rsidRDefault="00A37A87" w:rsidP="00A37A87">
      <w:pPr>
        <w:jc w:val="both"/>
        <w:rPr>
          <w:rFonts w:ascii="Uni Neue Regular" w:hAnsi="Uni Neue Regular"/>
          <w:sz w:val="20"/>
          <w:szCs w:val="20"/>
        </w:rPr>
      </w:pPr>
      <w:r w:rsidRPr="00697D24">
        <w:rPr>
          <w:rFonts w:ascii="Uni Neue Regular" w:hAnsi="Uni Neue Regular"/>
          <w:sz w:val="20"/>
          <w:szCs w:val="20"/>
        </w:rPr>
        <w:t xml:space="preserve">The Tata Ultra T.7 Electric is the latest offering from Tata Motors in </w:t>
      </w:r>
      <w:proofErr w:type="gramStart"/>
      <w:r w:rsidRPr="00697D24">
        <w:rPr>
          <w:rFonts w:ascii="Uni Neue Regular" w:hAnsi="Uni Neue Regular"/>
          <w:sz w:val="20"/>
          <w:szCs w:val="20"/>
        </w:rPr>
        <w:t>I&amp;LCV</w:t>
      </w:r>
      <w:proofErr w:type="gramEnd"/>
      <w:r w:rsidRPr="00697D24">
        <w:rPr>
          <w:rFonts w:ascii="Uni Neue Regular" w:hAnsi="Uni Neue Regular"/>
          <w:sz w:val="20"/>
          <w:szCs w:val="20"/>
        </w:rPr>
        <w:t xml:space="preserve"> segment under the world-class vehicle range of Ultra Platform. It is developed for Indian roads, redefining transportation industry leveraging enhanced technologies, blending ideally both technology and economy of operations. The Ultra T.7 Electric would best fit the city transportation needs as the truck is designed to address the agile goods movement across all business applications. The cabin is designed thoughtfully with a walk through feature, adding up with roomy interiors and 1+2 seating. It is developed to delight both the fleet owners as also the general driving fraternity. </w:t>
      </w:r>
      <w:r w:rsidRPr="00697D24">
        <w:rPr>
          <w:rFonts w:ascii="Uni Neue Regular" w:hAnsi="Uni Neue Regular"/>
          <w:color w:val="000000"/>
          <w:sz w:val="20"/>
          <w:szCs w:val="20"/>
          <w:shd w:val="clear" w:color="auto" w:fill="FFFFFF"/>
        </w:rPr>
        <w:t xml:space="preserve">Ultra T.7 Electric is a tough, modern and stylish city truck which is also the </w:t>
      </w:r>
      <w:r w:rsidRPr="00697D24">
        <w:rPr>
          <w:rFonts w:ascii="Uni Neue Regular" w:hAnsi="Uni Neue Regular"/>
          <w:sz w:val="20"/>
          <w:szCs w:val="20"/>
        </w:rPr>
        <w:t>India’s first ever intermediate commercial electric truck</w:t>
      </w:r>
      <w:r w:rsidRPr="00697D24">
        <w:rPr>
          <w:rFonts w:ascii="Uni Neue Regular" w:hAnsi="Uni Neue Regular"/>
          <w:color w:val="000000"/>
          <w:sz w:val="20"/>
          <w:szCs w:val="20"/>
          <w:shd w:val="clear" w:color="auto" w:fill="FFFFFF"/>
        </w:rPr>
        <w:t>, created to transform and redefine the goods transportation of Urban India.</w:t>
      </w:r>
    </w:p>
    <w:p w:rsidR="00A37A87" w:rsidRPr="00697D24" w:rsidRDefault="00A37A87" w:rsidP="00A37A87">
      <w:pPr>
        <w:jc w:val="both"/>
        <w:rPr>
          <w:rFonts w:ascii="Uni Neue Regular" w:hAnsi="Uni Neue Regular"/>
          <w:color w:val="000000"/>
          <w:sz w:val="20"/>
          <w:szCs w:val="20"/>
          <w:shd w:val="clear" w:color="auto" w:fill="FFFFFF"/>
        </w:rPr>
      </w:pPr>
      <w:r w:rsidRPr="00697D24">
        <w:rPr>
          <w:rFonts w:ascii="Uni Neue Regular" w:hAnsi="Uni Neue Regular"/>
          <w:color w:val="000000"/>
          <w:sz w:val="20"/>
          <w:szCs w:val="20"/>
          <w:shd w:val="clear" w:color="auto" w:fill="FFFFFF"/>
        </w:rPr>
        <w:t xml:space="preserve"> </w:t>
      </w:r>
    </w:p>
    <w:p w:rsidR="00A37A87" w:rsidRPr="00697D24" w:rsidRDefault="00A37A87" w:rsidP="00A37A87">
      <w:pPr>
        <w:jc w:val="both"/>
        <w:rPr>
          <w:rFonts w:ascii="Uni Neue Regular" w:hAnsi="Uni Neue Regular"/>
          <w:b/>
          <w:color w:val="000000"/>
          <w:sz w:val="20"/>
          <w:szCs w:val="20"/>
          <w:shd w:val="clear" w:color="auto" w:fill="FFFFFF"/>
        </w:rPr>
      </w:pPr>
      <w:r w:rsidRPr="00697D24">
        <w:rPr>
          <w:rFonts w:ascii="Uni Neue Regular" w:hAnsi="Uni Neue Regular"/>
          <w:b/>
          <w:color w:val="000000"/>
          <w:sz w:val="20"/>
          <w:szCs w:val="20"/>
          <w:shd w:val="clear" w:color="auto" w:fill="FFFFFF"/>
        </w:rPr>
        <w:t>USPs:</w:t>
      </w:r>
    </w:p>
    <w:p w:rsidR="00A37A87" w:rsidRPr="00697D24" w:rsidRDefault="00A37A87" w:rsidP="00A37A87">
      <w:pPr>
        <w:pStyle w:val="ListParagraph"/>
        <w:numPr>
          <w:ilvl w:val="0"/>
          <w:numId w:val="1"/>
        </w:numPr>
        <w:jc w:val="both"/>
        <w:rPr>
          <w:rFonts w:ascii="Uni Neue Regular" w:hAnsi="Uni Neue Regular"/>
          <w:color w:val="000000"/>
          <w:sz w:val="20"/>
          <w:szCs w:val="20"/>
          <w:shd w:val="clear" w:color="auto" w:fill="FFFFFF"/>
          <w:lang w:val="en-IN"/>
        </w:rPr>
      </w:pPr>
      <w:r w:rsidRPr="00697D24">
        <w:rPr>
          <w:rFonts w:ascii="Uni Neue Regular" w:hAnsi="Uni Neue Regular"/>
          <w:color w:val="000000"/>
          <w:sz w:val="20"/>
          <w:szCs w:val="20"/>
          <w:shd w:val="clear" w:color="auto" w:fill="FFFFFF"/>
          <w:lang w:val="en-IN"/>
        </w:rPr>
        <w:t>The unique and stylish narrow cabin provides ultimate driving comfort derived from the superior Ultra platform. Its ergonomically-designed interiors and features enhances driving pleasure and considerably reduces fatigue</w:t>
      </w:r>
    </w:p>
    <w:p w:rsidR="00A37A87" w:rsidRPr="00697D24" w:rsidRDefault="00A37A87" w:rsidP="00A37A87">
      <w:pPr>
        <w:pStyle w:val="ListParagraph"/>
        <w:numPr>
          <w:ilvl w:val="0"/>
          <w:numId w:val="1"/>
        </w:numPr>
        <w:jc w:val="both"/>
        <w:rPr>
          <w:rFonts w:ascii="Uni Neue Regular" w:hAnsi="Uni Neue Regular"/>
          <w:color w:val="000000"/>
          <w:sz w:val="20"/>
          <w:szCs w:val="20"/>
          <w:shd w:val="clear" w:color="auto" w:fill="FFFFFF"/>
          <w:lang w:val="en-IN"/>
        </w:rPr>
      </w:pPr>
      <w:r w:rsidRPr="00697D24">
        <w:rPr>
          <w:rFonts w:ascii="Uni Neue Regular" w:hAnsi="Uni Neue Regular"/>
          <w:color w:val="000000"/>
          <w:sz w:val="20"/>
          <w:szCs w:val="20"/>
          <w:shd w:val="clear" w:color="auto" w:fill="FFFFFF"/>
          <w:lang w:val="en-IN"/>
        </w:rPr>
        <w:t>Ultra T.7 Electric has been designed to address the specific needs of the evolving Hub &amp; Spoke model of goods distribution. The truck would deliver faster turnaround time, higher payload capacity, easier manoeuvrability delivered through a narrow aerodynamic cabin and sharp turning circle radius (6.95 m)</w:t>
      </w:r>
    </w:p>
    <w:p w:rsidR="00A37A87" w:rsidRPr="00697D24" w:rsidRDefault="00A37A87" w:rsidP="00A37A87">
      <w:pPr>
        <w:pStyle w:val="ListParagraph"/>
        <w:numPr>
          <w:ilvl w:val="0"/>
          <w:numId w:val="1"/>
        </w:numPr>
        <w:jc w:val="both"/>
        <w:rPr>
          <w:rFonts w:ascii="Uni Neue Regular" w:hAnsi="Uni Neue Regular"/>
          <w:color w:val="000000"/>
          <w:sz w:val="20"/>
          <w:szCs w:val="20"/>
          <w:shd w:val="clear" w:color="auto" w:fill="FFFFFF"/>
          <w:lang w:val="en-IN"/>
        </w:rPr>
      </w:pPr>
      <w:r w:rsidRPr="00697D24">
        <w:rPr>
          <w:rFonts w:ascii="Uni Neue Regular" w:hAnsi="Uni Neue Regular"/>
          <w:color w:val="000000"/>
          <w:sz w:val="20"/>
          <w:szCs w:val="20"/>
          <w:shd w:val="clear" w:color="auto" w:fill="FFFFFF"/>
          <w:lang w:val="en-IN"/>
        </w:rPr>
        <w:t xml:space="preserve">Superior interiors accentuated with optional features like telematics would go a long way in enhancing productivity as also the profitability of its operations </w:t>
      </w:r>
    </w:p>
    <w:p w:rsidR="00A37A87" w:rsidRPr="00697D24" w:rsidRDefault="00A37A87" w:rsidP="00A37A87">
      <w:pPr>
        <w:pStyle w:val="ListParagraph"/>
        <w:numPr>
          <w:ilvl w:val="0"/>
          <w:numId w:val="1"/>
        </w:numPr>
        <w:jc w:val="both"/>
        <w:rPr>
          <w:rFonts w:ascii="Uni Neue Regular" w:hAnsi="Uni Neue Regular"/>
          <w:color w:val="000000"/>
          <w:sz w:val="20"/>
          <w:szCs w:val="20"/>
          <w:shd w:val="clear" w:color="auto" w:fill="FFFFFF"/>
          <w:lang w:val="en-IN"/>
        </w:rPr>
      </w:pPr>
      <w:r w:rsidRPr="00697D24">
        <w:rPr>
          <w:rFonts w:ascii="Uni Neue Regular" w:hAnsi="Uni Neue Regular"/>
          <w:color w:val="000000"/>
          <w:sz w:val="20"/>
          <w:szCs w:val="20"/>
          <w:shd w:val="clear" w:color="auto" w:fill="FFFFFF"/>
          <w:lang w:val="en-IN"/>
        </w:rPr>
        <w:t xml:space="preserve">The first-in-class Tata electric motor generating 245 KW as peak power would propel this city truck with best-in-class driving comfort, on-road performance and agility to take business to all nook and corners supported by an outstanding gradient climbing ability (26%) </w:t>
      </w:r>
    </w:p>
    <w:p w:rsidR="00A37A87" w:rsidRPr="00697D24" w:rsidRDefault="00A37A87" w:rsidP="00A37A87">
      <w:pPr>
        <w:pStyle w:val="ListParagraph"/>
        <w:numPr>
          <w:ilvl w:val="0"/>
          <w:numId w:val="1"/>
        </w:numPr>
        <w:jc w:val="both"/>
        <w:rPr>
          <w:rFonts w:ascii="Uni Neue Regular" w:hAnsi="Uni Neue Regular"/>
          <w:color w:val="000000"/>
          <w:sz w:val="20"/>
          <w:szCs w:val="20"/>
          <w:shd w:val="clear" w:color="auto" w:fill="FFFFFF"/>
          <w:lang w:val="en-IN"/>
        </w:rPr>
      </w:pPr>
      <w:r w:rsidRPr="00697D24">
        <w:rPr>
          <w:rFonts w:ascii="Uni Neue Regular" w:hAnsi="Uni Neue Regular"/>
          <w:color w:val="000000"/>
          <w:sz w:val="20"/>
          <w:szCs w:val="20"/>
          <w:shd w:val="clear" w:color="auto" w:fill="FFFFFF"/>
          <w:lang w:val="en-IN"/>
        </w:rPr>
        <w:t>Direct Drive Technology eliminates the increased driving fatigue in the congested city traffic conditions and increases the pleasure of driving a smooth effortless machine</w:t>
      </w:r>
    </w:p>
    <w:p w:rsidR="00A37A87" w:rsidRPr="00697D24" w:rsidRDefault="00A37A87" w:rsidP="00A37A87">
      <w:pPr>
        <w:jc w:val="both"/>
        <w:rPr>
          <w:rFonts w:ascii="Uni Neue Regular" w:hAnsi="Uni Neue Regular"/>
          <w:color w:val="000000"/>
          <w:sz w:val="20"/>
          <w:szCs w:val="20"/>
          <w:shd w:val="clear" w:color="auto" w:fill="FFFFFF"/>
        </w:rPr>
      </w:pPr>
      <w:r w:rsidRPr="00697D24">
        <w:rPr>
          <w:rFonts w:ascii="Uni Neue Regular" w:hAnsi="Uni Neue Regular"/>
          <w:b/>
          <w:color w:val="000000"/>
          <w:sz w:val="20"/>
          <w:szCs w:val="20"/>
          <w:shd w:val="clear" w:color="auto" w:fill="FFFFFF"/>
        </w:rPr>
        <w:t>Application</w:t>
      </w:r>
      <w:r w:rsidRPr="00697D24">
        <w:rPr>
          <w:rFonts w:ascii="Uni Neue Regular" w:hAnsi="Uni Neue Regular"/>
          <w:color w:val="000000"/>
          <w:sz w:val="20"/>
          <w:szCs w:val="20"/>
          <w:shd w:val="clear" w:color="auto" w:fill="FFFFFF"/>
        </w:rPr>
        <w:t xml:space="preserve">: </w:t>
      </w:r>
      <w:r w:rsidRPr="00697D24">
        <w:rPr>
          <w:rFonts w:ascii="Uni Neue Regular" w:hAnsi="Uni Neue Regular"/>
          <w:sz w:val="20"/>
          <w:szCs w:val="20"/>
        </w:rPr>
        <w:t>City transportation</w:t>
      </w: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Default="00A37A87"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Default="00697D24" w:rsidP="00A37A87">
      <w:pPr>
        <w:jc w:val="both"/>
        <w:rPr>
          <w:rFonts w:ascii="Uni Neue Regular" w:hAnsi="Uni Neue Regular"/>
          <w:color w:val="000000"/>
          <w:sz w:val="20"/>
          <w:szCs w:val="20"/>
          <w:shd w:val="clear" w:color="auto" w:fill="FFFFFF"/>
        </w:rPr>
      </w:pPr>
    </w:p>
    <w:p w:rsidR="00697D24" w:rsidRPr="00697D24" w:rsidRDefault="00697D24"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color w:val="000000"/>
          <w:sz w:val="20"/>
          <w:szCs w:val="20"/>
          <w:shd w:val="clear" w:color="auto" w:fill="FFFFFF"/>
        </w:rPr>
      </w:pPr>
    </w:p>
    <w:p w:rsidR="00A37A87" w:rsidRPr="00697D24" w:rsidRDefault="00A37A87" w:rsidP="00A37A87">
      <w:pPr>
        <w:jc w:val="both"/>
        <w:rPr>
          <w:rFonts w:ascii="Uni Neue Regular" w:hAnsi="Uni Neue Regular"/>
          <w:b/>
          <w:color w:val="000000"/>
          <w:sz w:val="20"/>
          <w:szCs w:val="20"/>
          <w:shd w:val="clear" w:color="auto" w:fill="FFFFFF"/>
        </w:rPr>
      </w:pPr>
    </w:p>
    <w:p w:rsidR="00A37A87" w:rsidRPr="00697D24" w:rsidRDefault="00A37A87" w:rsidP="00A37A87">
      <w:pPr>
        <w:jc w:val="both"/>
        <w:rPr>
          <w:rFonts w:ascii="Uni Neue Regular" w:hAnsi="Uni Neue Regular"/>
          <w:b/>
          <w:color w:val="000000"/>
          <w:sz w:val="20"/>
          <w:szCs w:val="20"/>
          <w:shd w:val="clear" w:color="auto" w:fill="FFFFFF"/>
        </w:rPr>
      </w:pPr>
    </w:p>
    <w:p w:rsidR="00A37A87" w:rsidRPr="00697D24" w:rsidRDefault="00A37A87"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FB6F96" w:rsidRDefault="00FB6F96" w:rsidP="00A37A87">
      <w:pPr>
        <w:jc w:val="both"/>
        <w:rPr>
          <w:rFonts w:ascii="Uni Neue Regular" w:hAnsi="Uni Neue Regular"/>
          <w:b/>
          <w:color w:val="000000"/>
          <w:sz w:val="20"/>
          <w:szCs w:val="20"/>
          <w:shd w:val="clear" w:color="auto" w:fill="FFFFFF"/>
        </w:rPr>
      </w:pPr>
    </w:p>
    <w:p w:rsidR="00A37A87" w:rsidRPr="00697D24" w:rsidRDefault="00A37A87" w:rsidP="00A37A87">
      <w:pPr>
        <w:jc w:val="both"/>
        <w:rPr>
          <w:rFonts w:ascii="Uni Neue Regular" w:hAnsi="Uni Neue Regular"/>
          <w:b/>
          <w:color w:val="000000"/>
          <w:sz w:val="20"/>
          <w:szCs w:val="20"/>
          <w:shd w:val="clear" w:color="auto" w:fill="FFFFFF"/>
        </w:rPr>
      </w:pPr>
      <w:r w:rsidRPr="00697D24">
        <w:rPr>
          <w:rFonts w:ascii="Uni Neue Regular" w:hAnsi="Uni Neue Regular"/>
          <w:b/>
          <w:color w:val="000000"/>
          <w:sz w:val="20"/>
          <w:szCs w:val="20"/>
          <w:shd w:val="clear" w:color="auto" w:fill="FFFFFF"/>
        </w:rPr>
        <w:lastRenderedPageBreak/>
        <w:t>Technical Specifications:</w:t>
      </w:r>
    </w:p>
    <w:p w:rsidR="00A37A87" w:rsidRPr="00697D24" w:rsidRDefault="00A37A87" w:rsidP="00A37A87">
      <w:pPr>
        <w:jc w:val="both"/>
        <w:rPr>
          <w:rFonts w:ascii="Uni Neue Regular" w:hAnsi="Uni Neue Regular"/>
          <w:b/>
          <w:color w:val="000000"/>
          <w:sz w:val="20"/>
          <w:szCs w:val="20"/>
          <w:shd w:val="clear" w:color="auto" w:fill="FFFFFF"/>
        </w:rPr>
      </w:pPr>
    </w:p>
    <w:tbl>
      <w:tblPr>
        <w:tblW w:w="11062" w:type="dxa"/>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4"/>
        <w:gridCol w:w="4061"/>
        <w:gridCol w:w="1408"/>
        <w:gridCol w:w="3979"/>
      </w:tblGrid>
      <w:tr w:rsidR="00A37A87" w:rsidRPr="00697D24" w:rsidTr="00A37A87">
        <w:trPr>
          <w:trHeight w:val="142"/>
        </w:trPr>
        <w:tc>
          <w:tcPr>
            <w:tcW w:w="1614" w:type="dxa"/>
            <w:shd w:val="clear" w:color="auto" w:fill="DEEAF6" w:themeFill="accent5" w:themeFillTint="33"/>
            <w:tcMar>
              <w:top w:w="72" w:type="dxa"/>
              <w:left w:w="144" w:type="dxa"/>
              <w:bottom w:w="72" w:type="dxa"/>
              <w:right w:w="144" w:type="dxa"/>
            </w:tcMar>
          </w:tcPr>
          <w:p w:rsidR="00A37A87" w:rsidRPr="00697D24" w:rsidRDefault="00A37A87" w:rsidP="0020018B">
            <w:pPr>
              <w:jc w:val="center"/>
              <w:rPr>
                <w:rFonts w:ascii="Uni Neue Regular" w:hAnsi="Uni Neue Regular"/>
                <w:b/>
                <w:bCs/>
                <w:sz w:val="20"/>
                <w:szCs w:val="20"/>
              </w:rPr>
            </w:pPr>
            <w:r w:rsidRPr="00697D24">
              <w:rPr>
                <w:rFonts w:ascii="Uni Neue Regular" w:hAnsi="Uni Neue Regular"/>
                <w:b/>
                <w:bCs/>
                <w:sz w:val="20"/>
                <w:szCs w:val="20"/>
              </w:rPr>
              <w:t>Parameter</w:t>
            </w:r>
          </w:p>
        </w:tc>
        <w:tc>
          <w:tcPr>
            <w:tcW w:w="4061" w:type="dxa"/>
            <w:shd w:val="clear" w:color="auto" w:fill="DEEAF6" w:themeFill="accent5" w:themeFillTint="33"/>
            <w:tcMar>
              <w:top w:w="72" w:type="dxa"/>
              <w:left w:w="144" w:type="dxa"/>
              <w:bottom w:w="72" w:type="dxa"/>
              <w:right w:w="144" w:type="dxa"/>
            </w:tcMar>
          </w:tcPr>
          <w:p w:rsidR="00A37A87" w:rsidRPr="00697D24" w:rsidRDefault="00A37A87" w:rsidP="0020018B">
            <w:pPr>
              <w:jc w:val="center"/>
              <w:rPr>
                <w:rFonts w:ascii="Uni Neue Regular" w:hAnsi="Uni Neue Regular"/>
                <w:b/>
                <w:bCs/>
                <w:sz w:val="20"/>
                <w:szCs w:val="20"/>
              </w:rPr>
            </w:pPr>
            <w:r w:rsidRPr="00697D24">
              <w:rPr>
                <w:rFonts w:ascii="Uni Neue Regular" w:hAnsi="Uni Neue Regular"/>
                <w:b/>
                <w:bCs/>
                <w:sz w:val="20"/>
                <w:szCs w:val="20"/>
              </w:rPr>
              <w:t>Description</w:t>
            </w:r>
          </w:p>
        </w:tc>
        <w:tc>
          <w:tcPr>
            <w:tcW w:w="1408" w:type="dxa"/>
            <w:shd w:val="clear" w:color="auto" w:fill="DEEAF6" w:themeFill="accent5" w:themeFillTint="33"/>
          </w:tcPr>
          <w:p w:rsidR="00A37A87" w:rsidRPr="00697D24" w:rsidRDefault="00A37A87" w:rsidP="0020018B">
            <w:pPr>
              <w:jc w:val="center"/>
              <w:rPr>
                <w:rFonts w:ascii="Uni Neue Regular" w:hAnsi="Uni Neue Regular"/>
                <w:b/>
                <w:bCs/>
                <w:sz w:val="20"/>
                <w:szCs w:val="20"/>
              </w:rPr>
            </w:pPr>
            <w:r w:rsidRPr="00697D24">
              <w:rPr>
                <w:rFonts w:ascii="Uni Neue Regular" w:hAnsi="Uni Neue Regular"/>
                <w:b/>
                <w:bCs/>
                <w:sz w:val="20"/>
                <w:szCs w:val="20"/>
              </w:rPr>
              <w:t>Parameter</w:t>
            </w:r>
          </w:p>
        </w:tc>
        <w:tc>
          <w:tcPr>
            <w:tcW w:w="3979" w:type="dxa"/>
            <w:shd w:val="clear" w:color="auto" w:fill="DEEAF6" w:themeFill="accent5" w:themeFillTint="33"/>
          </w:tcPr>
          <w:p w:rsidR="00A37A87" w:rsidRPr="00697D24" w:rsidRDefault="00A37A87" w:rsidP="0020018B">
            <w:pPr>
              <w:jc w:val="center"/>
              <w:rPr>
                <w:rFonts w:ascii="Uni Neue Regular" w:hAnsi="Uni Neue Regular"/>
                <w:b/>
                <w:bCs/>
                <w:sz w:val="20"/>
                <w:szCs w:val="20"/>
              </w:rPr>
            </w:pPr>
            <w:r w:rsidRPr="00697D24">
              <w:rPr>
                <w:rFonts w:ascii="Uni Neue Regular" w:hAnsi="Uni Neue Regular"/>
                <w:b/>
                <w:bCs/>
                <w:sz w:val="20"/>
                <w:szCs w:val="20"/>
              </w:rPr>
              <w:t>Description</w:t>
            </w:r>
          </w:p>
        </w:tc>
      </w:tr>
      <w:tr w:rsidR="00A37A87" w:rsidRPr="00697D24" w:rsidTr="00A37A87">
        <w:trPr>
          <w:trHeight w:val="114"/>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Cabin</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Ultra Narrow Cab (D+2) seating- Crash Tested 1.9 Mt. wide walkthrough All Steel Make cabin with Panoramic View</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Brakes</w:t>
            </w: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kern w:val="24"/>
                <w:sz w:val="20"/>
                <w:szCs w:val="20"/>
              </w:rPr>
              <w:t>Air Brakes 325 X 120 S – CAM, Drum Brakes</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Battery Capacity</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62.5 kWh – Octillion Make - (10S1P)</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Suspension</w:t>
            </w:r>
          </w:p>
        </w:tc>
        <w:tc>
          <w:tcPr>
            <w:tcW w:w="3979" w:type="dxa"/>
            <w:vAlign w:val="bottom"/>
          </w:tcPr>
          <w:p w:rsidR="00A37A87" w:rsidRPr="00697D24" w:rsidRDefault="00A37A87" w:rsidP="0020018B">
            <w:pPr>
              <w:pStyle w:val="NormalWeb"/>
              <w:spacing w:before="0" w:beforeAutospacing="0" w:after="0" w:afterAutospacing="0" w:line="256" w:lineRule="auto"/>
              <w:jc w:val="center"/>
              <w:rPr>
                <w:rFonts w:ascii="Uni Neue Regular" w:hAnsi="Uni Neue Regular" w:cstheme="minorHAnsi"/>
                <w:sz w:val="20"/>
                <w:szCs w:val="20"/>
              </w:rPr>
            </w:pPr>
            <w:r w:rsidRPr="00697D24">
              <w:rPr>
                <w:rFonts w:ascii="Uni Neue Regular" w:hAnsi="Uni Neue Regular" w:cstheme="minorHAnsi"/>
                <w:bCs/>
                <w:color w:val="000000"/>
                <w:kern w:val="24"/>
                <w:sz w:val="20"/>
                <w:szCs w:val="20"/>
              </w:rPr>
              <w:t>Front – Parabolic springs with antiroll bar;                                                                                     Rear – Semi-Elliptical Leaf Springs with parabolic auxiliary</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Peak Motor Power</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220 KW max. / Max Torque at 2800 Nm</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Electrical</w:t>
            </w: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kern w:val="24"/>
                <w:sz w:val="20"/>
                <w:szCs w:val="20"/>
              </w:rPr>
              <w:t>24V system</w:t>
            </w:r>
          </w:p>
        </w:tc>
      </w:tr>
      <w:tr w:rsidR="00A37A87" w:rsidRPr="00697D24" w:rsidTr="00A37A87">
        <w:trPr>
          <w:trHeight w:val="114"/>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Battery Charging Socket &amp; Type</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As per the Charging standard being notified in CMVR / IS</w:t>
            </w:r>
          </w:p>
        </w:tc>
        <w:tc>
          <w:tcPr>
            <w:tcW w:w="1408" w:type="dxa"/>
            <w:vAlign w:val="bottom"/>
          </w:tcPr>
          <w:p w:rsidR="00A37A87" w:rsidRPr="00697D24" w:rsidRDefault="00A37A87" w:rsidP="0020018B">
            <w:pPr>
              <w:jc w:val="center"/>
              <w:rPr>
                <w:rFonts w:ascii="Uni Neue Regular" w:hAnsi="Uni Neue Regular" w:cstheme="minorHAnsi"/>
                <w:b/>
                <w:bCs/>
                <w:color w:val="000000"/>
                <w:kern w:val="24"/>
                <w:sz w:val="20"/>
                <w:szCs w:val="20"/>
              </w:rPr>
            </w:pPr>
            <w:r w:rsidRPr="00697D24">
              <w:rPr>
                <w:rFonts w:ascii="Uni Neue Regular" w:hAnsi="Uni Neue Regular" w:cstheme="minorHAnsi"/>
                <w:b/>
                <w:bCs/>
                <w:color w:val="000000"/>
                <w:kern w:val="24"/>
                <w:sz w:val="20"/>
                <w:szCs w:val="20"/>
              </w:rPr>
              <w:t>Tyres and Wheels</w:t>
            </w:r>
          </w:p>
          <w:p w:rsidR="00A37A87" w:rsidRPr="00697D24" w:rsidRDefault="00A37A87" w:rsidP="0020018B">
            <w:pPr>
              <w:jc w:val="center"/>
              <w:rPr>
                <w:rFonts w:ascii="Uni Neue Regular" w:hAnsi="Uni Neue Regular" w:cstheme="minorHAnsi"/>
                <w:b/>
                <w:bCs/>
                <w:sz w:val="20"/>
                <w:szCs w:val="20"/>
              </w:rPr>
            </w:pP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kern w:val="24"/>
                <w:sz w:val="20"/>
                <w:szCs w:val="20"/>
              </w:rPr>
              <w:t>Radial tyres , 235/75 R 17.5 Tubeless, Al alloy wheels , 6.75 X 17.5</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Charging Time</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2 hours (approx.)</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Gradability</w:t>
            </w: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kern w:val="24"/>
                <w:sz w:val="20"/>
                <w:szCs w:val="20"/>
              </w:rPr>
              <w:t>26%</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Charger Type</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Off Board DC Fast Charging</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Turning Circle Radius</w:t>
            </w: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kern w:val="24"/>
                <w:sz w:val="20"/>
                <w:szCs w:val="20"/>
              </w:rPr>
              <w:t>6.95 m</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Range / per day</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More than 100 KMs</w:t>
            </w:r>
          </w:p>
        </w:tc>
        <w:tc>
          <w:tcPr>
            <w:tcW w:w="1408" w:type="dxa"/>
            <w:vAlign w:val="bottom"/>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kern w:val="24"/>
                <w:sz w:val="20"/>
                <w:szCs w:val="20"/>
              </w:rPr>
              <w:t>Load body</w:t>
            </w:r>
          </w:p>
        </w:tc>
        <w:tc>
          <w:tcPr>
            <w:tcW w:w="3979" w:type="dxa"/>
            <w:vAlign w:val="bottom"/>
          </w:tcPr>
          <w:p w:rsidR="00A37A87" w:rsidRPr="00697D24" w:rsidRDefault="00A37A87" w:rsidP="0020018B">
            <w:pPr>
              <w:jc w:val="center"/>
              <w:rPr>
                <w:rFonts w:ascii="Uni Neue Regular" w:hAnsi="Uni Neue Regular" w:cstheme="minorHAnsi"/>
                <w:bCs/>
                <w:sz w:val="20"/>
                <w:szCs w:val="20"/>
              </w:rPr>
            </w:pPr>
            <w:r w:rsidRPr="00697D24">
              <w:rPr>
                <w:rFonts w:ascii="Uni Neue Regular" w:eastAsia="Calibri" w:hAnsi="Uni Neue Regular" w:cstheme="minorHAnsi"/>
                <w:bCs/>
                <w:color w:val="000000"/>
                <w:kern w:val="24"/>
                <w:sz w:val="20"/>
                <w:szCs w:val="20"/>
              </w:rPr>
              <w:t>HDLB, CLB and CABIN CHASSIS</w:t>
            </w:r>
          </w:p>
        </w:tc>
      </w:tr>
      <w:tr w:rsidR="00A37A87" w:rsidRPr="00697D24" w:rsidTr="00A37A87">
        <w:trPr>
          <w:trHeight w:val="69"/>
        </w:trPr>
        <w:tc>
          <w:tcPr>
            <w:tcW w:w="1614"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Transmission Type</w:t>
            </w:r>
          </w:p>
        </w:tc>
        <w:tc>
          <w:tcPr>
            <w:tcW w:w="4061" w:type="dxa"/>
            <w:shd w:val="clear" w:color="auto" w:fill="auto"/>
            <w:tcMar>
              <w:top w:w="72" w:type="dxa"/>
              <w:left w:w="144" w:type="dxa"/>
              <w:bottom w:w="72" w:type="dxa"/>
              <w:right w:w="144" w:type="dxa"/>
            </w:tcMar>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Automatic (Direct Drive)</w:t>
            </w:r>
          </w:p>
        </w:tc>
        <w:tc>
          <w:tcPr>
            <w:tcW w:w="1408" w:type="dxa"/>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GVW</w:t>
            </w:r>
          </w:p>
        </w:tc>
        <w:tc>
          <w:tcPr>
            <w:tcW w:w="3979" w:type="dxa"/>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7490 kg - 8750 Kg</w:t>
            </w:r>
          </w:p>
        </w:tc>
      </w:tr>
      <w:tr w:rsidR="00FB6F96" w:rsidRPr="00697D24" w:rsidTr="00A37A87">
        <w:trPr>
          <w:trHeight w:val="69"/>
        </w:trPr>
        <w:tc>
          <w:tcPr>
            <w:tcW w:w="1614" w:type="dxa"/>
            <w:vMerge w:val="restart"/>
            <w:shd w:val="clear" w:color="auto" w:fill="auto"/>
            <w:tcMar>
              <w:top w:w="72" w:type="dxa"/>
              <w:left w:w="144" w:type="dxa"/>
              <w:bottom w:w="72" w:type="dxa"/>
              <w:right w:w="144" w:type="dxa"/>
            </w:tcMar>
            <w:hideMark/>
          </w:tcPr>
          <w:p w:rsidR="00FB6F96" w:rsidRDefault="00FB6F96" w:rsidP="0020018B">
            <w:pPr>
              <w:jc w:val="center"/>
              <w:rPr>
                <w:rFonts w:ascii="Uni Neue Regular" w:hAnsi="Uni Neue Regular" w:cstheme="minorHAnsi"/>
                <w:b/>
                <w:bCs/>
                <w:sz w:val="20"/>
                <w:szCs w:val="20"/>
              </w:rPr>
            </w:pPr>
          </w:p>
          <w:p w:rsidR="00FB6F96" w:rsidRPr="00697D24" w:rsidRDefault="00FB6F96"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Max speed</w:t>
            </w:r>
          </w:p>
        </w:tc>
        <w:tc>
          <w:tcPr>
            <w:tcW w:w="4061" w:type="dxa"/>
            <w:vMerge w:val="restart"/>
            <w:shd w:val="clear" w:color="auto" w:fill="auto"/>
            <w:tcMar>
              <w:top w:w="72" w:type="dxa"/>
              <w:left w:w="144" w:type="dxa"/>
              <w:bottom w:w="72" w:type="dxa"/>
              <w:right w:w="144" w:type="dxa"/>
            </w:tcMar>
            <w:hideMark/>
          </w:tcPr>
          <w:p w:rsidR="00FB6F96" w:rsidRDefault="00FB6F96" w:rsidP="0020018B">
            <w:pPr>
              <w:jc w:val="center"/>
              <w:rPr>
                <w:rFonts w:ascii="Uni Neue Regular" w:hAnsi="Uni Neue Regular" w:cstheme="minorHAnsi"/>
                <w:bCs/>
                <w:sz w:val="20"/>
                <w:szCs w:val="20"/>
              </w:rPr>
            </w:pPr>
          </w:p>
          <w:p w:rsidR="00FB6F96" w:rsidRPr="00697D24" w:rsidRDefault="00FB6F96" w:rsidP="0020018B">
            <w:pPr>
              <w:jc w:val="center"/>
              <w:rPr>
                <w:rFonts w:ascii="Uni Neue Regular" w:hAnsi="Uni Neue Regular" w:cstheme="minorHAnsi"/>
                <w:sz w:val="20"/>
                <w:szCs w:val="20"/>
              </w:rPr>
            </w:pPr>
            <w:bookmarkStart w:id="0" w:name="_GoBack"/>
            <w:bookmarkEnd w:id="0"/>
            <w:r w:rsidRPr="00697D24">
              <w:rPr>
                <w:rFonts w:ascii="Uni Neue Regular" w:hAnsi="Uni Neue Regular" w:cstheme="minorHAnsi"/>
                <w:bCs/>
                <w:sz w:val="20"/>
                <w:szCs w:val="20"/>
              </w:rPr>
              <w:t>80kmph</w:t>
            </w:r>
          </w:p>
        </w:tc>
        <w:tc>
          <w:tcPr>
            <w:tcW w:w="1408" w:type="dxa"/>
          </w:tcPr>
          <w:p w:rsidR="00FB6F96" w:rsidRPr="00697D24" w:rsidRDefault="00FB6F96"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Kerb Weight</w:t>
            </w:r>
          </w:p>
        </w:tc>
        <w:tc>
          <w:tcPr>
            <w:tcW w:w="3979" w:type="dxa"/>
          </w:tcPr>
          <w:p w:rsidR="00FB6F96" w:rsidRPr="00697D24" w:rsidRDefault="00FB6F96"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3798 kg- 3815 Kg</w:t>
            </w:r>
          </w:p>
        </w:tc>
      </w:tr>
      <w:tr w:rsidR="00FB6F96" w:rsidRPr="00697D24" w:rsidTr="00FB6F96">
        <w:trPr>
          <w:trHeight w:val="43"/>
        </w:trPr>
        <w:tc>
          <w:tcPr>
            <w:tcW w:w="1614" w:type="dxa"/>
            <w:vMerge/>
            <w:shd w:val="clear" w:color="auto" w:fill="auto"/>
            <w:tcMar>
              <w:top w:w="15" w:type="dxa"/>
              <w:left w:w="99" w:type="dxa"/>
              <w:bottom w:w="0" w:type="dxa"/>
              <w:right w:w="99" w:type="dxa"/>
            </w:tcMar>
            <w:vAlign w:val="bottom"/>
          </w:tcPr>
          <w:p w:rsidR="00FB6F96" w:rsidRPr="00697D24" w:rsidRDefault="00FB6F96" w:rsidP="0020018B">
            <w:pPr>
              <w:jc w:val="center"/>
              <w:rPr>
                <w:rFonts w:ascii="Uni Neue Regular" w:hAnsi="Uni Neue Regular" w:cstheme="minorHAnsi"/>
                <w:sz w:val="20"/>
                <w:szCs w:val="20"/>
              </w:rPr>
            </w:pPr>
          </w:p>
        </w:tc>
        <w:tc>
          <w:tcPr>
            <w:tcW w:w="4061" w:type="dxa"/>
            <w:vMerge/>
            <w:shd w:val="clear" w:color="auto" w:fill="auto"/>
            <w:tcMar>
              <w:top w:w="15" w:type="dxa"/>
              <w:left w:w="99" w:type="dxa"/>
              <w:bottom w:w="0" w:type="dxa"/>
              <w:right w:w="99" w:type="dxa"/>
            </w:tcMar>
            <w:vAlign w:val="bottom"/>
          </w:tcPr>
          <w:p w:rsidR="00FB6F96" w:rsidRPr="00697D24" w:rsidRDefault="00FB6F96" w:rsidP="0020018B">
            <w:pPr>
              <w:jc w:val="center"/>
              <w:rPr>
                <w:rFonts w:ascii="Uni Neue Regular" w:hAnsi="Uni Neue Regular" w:cstheme="minorHAnsi"/>
                <w:sz w:val="20"/>
                <w:szCs w:val="20"/>
              </w:rPr>
            </w:pPr>
          </w:p>
        </w:tc>
        <w:tc>
          <w:tcPr>
            <w:tcW w:w="1408" w:type="dxa"/>
          </w:tcPr>
          <w:p w:rsidR="00FB6F96" w:rsidRPr="00697D24" w:rsidRDefault="00FB6F96"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Payload available</w:t>
            </w:r>
          </w:p>
        </w:tc>
        <w:tc>
          <w:tcPr>
            <w:tcW w:w="3979" w:type="dxa"/>
          </w:tcPr>
          <w:p w:rsidR="00FB6F96" w:rsidRPr="00697D24" w:rsidRDefault="00FB6F96"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3692 kg- 4935 Kg</w:t>
            </w:r>
          </w:p>
        </w:tc>
      </w:tr>
      <w:tr w:rsidR="00A37A87" w:rsidRPr="00697D24" w:rsidTr="00A37A87">
        <w:trPr>
          <w:trHeight w:val="43"/>
        </w:trPr>
        <w:tc>
          <w:tcPr>
            <w:tcW w:w="1614"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Steering</w:t>
            </w:r>
          </w:p>
        </w:tc>
        <w:tc>
          <w:tcPr>
            <w:tcW w:w="4061"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Integrated Hydraulic Power Steering- Tilt and Telescopic</w:t>
            </w:r>
          </w:p>
        </w:tc>
        <w:tc>
          <w:tcPr>
            <w:tcW w:w="1408" w:type="dxa"/>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Wheelbase</w:t>
            </w:r>
          </w:p>
        </w:tc>
        <w:tc>
          <w:tcPr>
            <w:tcW w:w="3979" w:type="dxa"/>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3550 mm / 3900 mm</w:t>
            </w:r>
          </w:p>
        </w:tc>
      </w:tr>
      <w:tr w:rsidR="00A37A87" w:rsidRPr="00697D24" w:rsidTr="00A37A87">
        <w:trPr>
          <w:trHeight w:val="43"/>
        </w:trPr>
        <w:tc>
          <w:tcPr>
            <w:tcW w:w="1614"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Front axle</w:t>
            </w:r>
          </w:p>
        </w:tc>
        <w:tc>
          <w:tcPr>
            <w:tcW w:w="4061"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I beam with Air Drum Brakes</w:t>
            </w:r>
          </w:p>
        </w:tc>
        <w:tc>
          <w:tcPr>
            <w:tcW w:w="1408" w:type="dxa"/>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Total Length</w:t>
            </w:r>
          </w:p>
        </w:tc>
        <w:tc>
          <w:tcPr>
            <w:tcW w:w="3979" w:type="dxa"/>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6400 mm</w:t>
            </w:r>
          </w:p>
        </w:tc>
      </w:tr>
      <w:tr w:rsidR="00A37A87" w:rsidRPr="00697D24" w:rsidTr="00A37A87">
        <w:trPr>
          <w:trHeight w:val="43"/>
        </w:trPr>
        <w:tc>
          <w:tcPr>
            <w:tcW w:w="1614"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
                <w:bCs/>
                <w:sz w:val="20"/>
                <w:szCs w:val="20"/>
              </w:rPr>
              <w:t>Rear axle</w:t>
            </w:r>
          </w:p>
        </w:tc>
        <w:tc>
          <w:tcPr>
            <w:tcW w:w="4061" w:type="dxa"/>
            <w:shd w:val="clear" w:color="auto" w:fill="auto"/>
            <w:tcMar>
              <w:top w:w="15" w:type="dxa"/>
              <w:left w:w="99" w:type="dxa"/>
              <w:bottom w:w="0" w:type="dxa"/>
              <w:right w:w="99" w:type="dxa"/>
            </w:tcMar>
            <w:vAlign w:val="bottom"/>
            <w:hideMark/>
          </w:tcPr>
          <w:p w:rsidR="00A37A87" w:rsidRPr="00697D24" w:rsidRDefault="00A37A87" w:rsidP="0020018B">
            <w:pPr>
              <w:jc w:val="center"/>
              <w:rPr>
                <w:rFonts w:ascii="Uni Neue Regular" w:hAnsi="Uni Neue Regular" w:cstheme="minorHAnsi"/>
                <w:sz w:val="20"/>
                <w:szCs w:val="20"/>
              </w:rPr>
            </w:pPr>
            <w:r w:rsidRPr="00697D24">
              <w:rPr>
                <w:rFonts w:ascii="Uni Neue Regular" w:hAnsi="Uni Neue Regular" w:cstheme="minorHAnsi"/>
                <w:bCs/>
                <w:sz w:val="20"/>
                <w:szCs w:val="20"/>
              </w:rPr>
              <w:t>RAS 104, Salisbury with Air Drum Brakes</w:t>
            </w:r>
          </w:p>
        </w:tc>
        <w:tc>
          <w:tcPr>
            <w:tcW w:w="1408" w:type="dxa"/>
          </w:tcPr>
          <w:p w:rsidR="00A37A87" w:rsidRPr="00697D24" w:rsidRDefault="00A37A87" w:rsidP="0020018B">
            <w:pPr>
              <w:jc w:val="center"/>
              <w:rPr>
                <w:rFonts w:ascii="Uni Neue Regular" w:hAnsi="Uni Neue Regular" w:cstheme="minorHAnsi"/>
                <w:b/>
                <w:bCs/>
                <w:sz w:val="20"/>
                <w:szCs w:val="20"/>
              </w:rPr>
            </w:pPr>
            <w:r w:rsidRPr="00697D24">
              <w:rPr>
                <w:rFonts w:ascii="Uni Neue Regular" w:hAnsi="Uni Neue Regular" w:cstheme="minorHAnsi"/>
                <w:b/>
                <w:bCs/>
                <w:color w:val="000000" w:themeColor="text1"/>
                <w:kern w:val="24"/>
                <w:sz w:val="20"/>
                <w:szCs w:val="20"/>
              </w:rPr>
              <w:t>Frame</w:t>
            </w:r>
          </w:p>
        </w:tc>
        <w:tc>
          <w:tcPr>
            <w:tcW w:w="3979" w:type="dxa"/>
          </w:tcPr>
          <w:p w:rsidR="00A37A87" w:rsidRPr="00697D24" w:rsidRDefault="00A37A87" w:rsidP="0020018B">
            <w:pPr>
              <w:jc w:val="center"/>
              <w:rPr>
                <w:rFonts w:ascii="Uni Neue Regular" w:hAnsi="Uni Neue Regular" w:cstheme="minorHAnsi"/>
                <w:bCs/>
                <w:sz w:val="20"/>
                <w:szCs w:val="20"/>
              </w:rPr>
            </w:pPr>
            <w:r w:rsidRPr="00697D24">
              <w:rPr>
                <w:rFonts w:ascii="Uni Neue Regular" w:hAnsi="Uni Neue Regular" w:cstheme="minorHAnsi"/>
                <w:bCs/>
                <w:color w:val="000000" w:themeColor="text1"/>
                <w:kern w:val="24"/>
                <w:sz w:val="20"/>
                <w:szCs w:val="20"/>
              </w:rPr>
              <w:t>Ladder Type Straight Frame</w:t>
            </w:r>
          </w:p>
        </w:tc>
      </w:tr>
    </w:tbl>
    <w:p w:rsidR="00A37A87" w:rsidRPr="00697D24" w:rsidRDefault="00A37A87" w:rsidP="00A37A87">
      <w:pPr>
        <w:rPr>
          <w:rFonts w:ascii="Uni Neue Regular" w:hAnsi="Uni Neue Regular" w:cstheme="minorHAnsi"/>
          <w:sz w:val="20"/>
          <w:szCs w:val="20"/>
        </w:rPr>
      </w:pPr>
    </w:p>
    <w:p w:rsidR="00006427" w:rsidRPr="00697D24" w:rsidRDefault="00006427" w:rsidP="00A37A87">
      <w:pPr>
        <w:rPr>
          <w:rFonts w:ascii="Uni Neue Regular" w:hAnsi="Uni Neue Regular"/>
          <w:sz w:val="20"/>
          <w:szCs w:val="20"/>
          <w:lang w:val="en-US"/>
        </w:rPr>
      </w:pPr>
    </w:p>
    <w:p w:rsidR="00006427" w:rsidRPr="00697D24" w:rsidRDefault="00006427" w:rsidP="00A37A87">
      <w:pPr>
        <w:rPr>
          <w:rFonts w:ascii="Uni Neue Regular" w:hAnsi="Uni Neue Regular"/>
          <w:sz w:val="20"/>
          <w:szCs w:val="20"/>
          <w:lang w:val="en-US"/>
        </w:rPr>
      </w:pPr>
    </w:p>
    <w:p w:rsidR="00006427" w:rsidRPr="00697D24" w:rsidRDefault="00006427" w:rsidP="00A37A87">
      <w:pPr>
        <w:rPr>
          <w:rFonts w:ascii="Uni Neue Regular" w:hAnsi="Uni Neue Regular"/>
          <w:sz w:val="20"/>
          <w:szCs w:val="20"/>
          <w:lang w:val="en-US"/>
        </w:rPr>
      </w:pPr>
    </w:p>
    <w:sectPr w:rsidR="00006427" w:rsidRPr="00697D24"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494" w:rsidRDefault="00CE5494" w:rsidP="00006427">
      <w:r>
        <w:separator/>
      </w:r>
    </w:p>
  </w:endnote>
  <w:endnote w:type="continuationSeparator" w:id="0">
    <w:p w:rsidR="00CE5494" w:rsidRDefault="00CE5494"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 Neue Regular">
    <w:altName w:val="Arial"/>
    <w:panose1 w:val="00000000000000000000"/>
    <w:charset w:val="00"/>
    <w:family w:val="modern"/>
    <w:notTrueType/>
    <w:pitch w:val="variable"/>
    <w:sig w:usb0="00000001" w:usb1="0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89" w:rsidRDefault="00282F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89" w:rsidRDefault="00282F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89" w:rsidRDefault="00282F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494" w:rsidRDefault="00CE5494" w:rsidP="00006427">
      <w:r>
        <w:separator/>
      </w:r>
    </w:p>
  </w:footnote>
  <w:footnote w:type="continuationSeparator" w:id="0">
    <w:p w:rsidR="00CE5494" w:rsidRDefault="00CE5494" w:rsidP="00006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89" w:rsidRDefault="00282F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89" w:rsidRDefault="00282F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46966"/>
    <w:multiLevelType w:val="hybridMultilevel"/>
    <w:tmpl w:val="94BECA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4407A9"/>
    <w:rsid w:val="00472060"/>
    <w:rsid w:val="00697D24"/>
    <w:rsid w:val="00882F91"/>
    <w:rsid w:val="00905960"/>
    <w:rsid w:val="00A37A87"/>
    <w:rsid w:val="00A66BEF"/>
    <w:rsid w:val="00A67604"/>
    <w:rsid w:val="00B134EF"/>
    <w:rsid w:val="00CE5494"/>
    <w:rsid w:val="00CF357C"/>
    <w:rsid w:val="00D33337"/>
    <w:rsid w:val="00DB0F62"/>
    <w:rsid w:val="00E31BF8"/>
    <w:rsid w:val="00E90B47"/>
    <w:rsid w:val="00FB6F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link w:val="ListParagraphChar"/>
    <w:uiPriority w:val="34"/>
    <w:qFormat/>
    <w:rsid w:val="00A37A87"/>
    <w:pPr>
      <w:spacing w:after="160" w:line="259" w:lineRule="auto"/>
      <w:ind w:left="720"/>
      <w:contextualSpacing/>
    </w:pPr>
    <w:rPr>
      <w:sz w:val="22"/>
      <w:szCs w:val="22"/>
      <w:lang w:val="en-US"/>
    </w:rPr>
  </w:style>
  <w:style w:type="character" w:customStyle="1" w:styleId="ListParagraphChar">
    <w:name w:val="List Paragraph Char"/>
    <w:basedOn w:val="DefaultParagraphFont"/>
    <w:link w:val="ListParagraph"/>
    <w:uiPriority w:val="34"/>
    <w:locked/>
    <w:rsid w:val="00A37A87"/>
    <w:rPr>
      <w:sz w:val="22"/>
      <w:szCs w:val="22"/>
      <w:lang w:val="en-US"/>
    </w:rPr>
  </w:style>
  <w:style w:type="paragraph" w:styleId="NormalWeb">
    <w:name w:val="Normal (Web)"/>
    <w:basedOn w:val="Normal"/>
    <w:uiPriority w:val="99"/>
    <w:unhideWhenUsed/>
    <w:rsid w:val="00A37A87"/>
    <w:pPr>
      <w:spacing w:before="100" w:beforeAutospacing="1" w:after="100" w:afterAutospacing="1"/>
    </w:pPr>
    <w:rPr>
      <w:rFonts w:ascii="Times New Roman" w:eastAsia="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Makrant</cp:lastModifiedBy>
  <cp:revision>2</cp:revision>
  <dcterms:created xsi:type="dcterms:W3CDTF">2020-02-06T05:16:00Z</dcterms:created>
  <dcterms:modified xsi:type="dcterms:W3CDTF">2020-02-06T05:16:00Z</dcterms:modified>
</cp:coreProperties>
</file>