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02D" w:rsidRPr="00162EBA" w:rsidRDefault="00E6502D" w:rsidP="00E6502D">
      <w:pPr>
        <w:pStyle w:val="NoSpacing"/>
        <w:jc w:val="both"/>
        <w:rPr>
          <w:rFonts w:ascii="Uni Neue Regular" w:hAnsi="Uni Neue Regular"/>
          <w:b/>
          <w:color w:val="000000" w:themeColor="text1"/>
          <w:sz w:val="20"/>
          <w:szCs w:val="20"/>
        </w:rPr>
      </w:pPr>
      <w:bookmarkStart w:id="0" w:name="_GoBack"/>
    </w:p>
    <w:p w:rsidR="00E6502D" w:rsidRPr="00162EBA" w:rsidRDefault="00E6502D" w:rsidP="00E6502D">
      <w:pPr>
        <w:pStyle w:val="NoSpacing"/>
        <w:jc w:val="center"/>
        <w:rPr>
          <w:rFonts w:ascii="Uni Neue Regular" w:hAnsi="Uni Neue Regular"/>
          <w:b/>
          <w:color w:val="000000" w:themeColor="text1"/>
          <w:sz w:val="20"/>
          <w:szCs w:val="20"/>
        </w:rPr>
      </w:pPr>
    </w:p>
    <w:p w:rsidR="00E6502D" w:rsidRPr="00162EBA" w:rsidRDefault="00E6502D" w:rsidP="00E6502D">
      <w:pPr>
        <w:pStyle w:val="NoSpacing"/>
        <w:jc w:val="center"/>
        <w:rPr>
          <w:rFonts w:ascii="Uni Neue Regular" w:hAnsi="Uni Neue Regular"/>
          <w:b/>
          <w:color w:val="000000" w:themeColor="text1"/>
          <w:sz w:val="20"/>
          <w:szCs w:val="20"/>
        </w:rPr>
      </w:pPr>
      <w:r w:rsidRPr="00162EBA">
        <w:rPr>
          <w:rFonts w:ascii="Uni Neue Regular" w:hAnsi="Uni Neue Regular"/>
          <w:b/>
          <w:color w:val="000000" w:themeColor="text1"/>
          <w:sz w:val="20"/>
          <w:szCs w:val="20"/>
        </w:rPr>
        <w:t>Tata Altroz EV</w:t>
      </w:r>
    </w:p>
    <w:p w:rsidR="00E6502D" w:rsidRPr="00162EBA" w:rsidRDefault="00E6502D" w:rsidP="00E6502D">
      <w:pPr>
        <w:pStyle w:val="NoSpacing"/>
        <w:jc w:val="center"/>
        <w:rPr>
          <w:rFonts w:ascii="Uni Neue Regular" w:hAnsi="Uni Neue Regular"/>
          <w:color w:val="000000" w:themeColor="text1"/>
          <w:sz w:val="20"/>
          <w:szCs w:val="20"/>
        </w:rPr>
      </w:pPr>
    </w:p>
    <w:p w:rsidR="00E6502D" w:rsidRPr="00162EBA" w:rsidRDefault="00E6502D" w:rsidP="00E6502D">
      <w:pPr>
        <w:pStyle w:val="NoSpacing"/>
        <w:jc w:val="both"/>
        <w:rPr>
          <w:rFonts w:ascii="Uni Neue Regular" w:hAnsi="Uni Neue Regular"/>
          <w:color w:val="000000" w:themeColor="text1"/>
          <w:sz w:val="20"/>
          <w:szCs w:val="20"/>
        </w:rPr>
      </w:pPr>
      <w:r w:rsidRPr="00162EBA">
        <w:rPr>
          <w:rFonts w:ascii="Uni Neue Regular" w:hAnsi="Uni Neue Regular"/>
          <w:color w:val="000000" w:themeColor="text1"/>
          <w:sz w:val="20"/>
          <w:szCs w:val="20"/>
        </w:rPr>
        <w:t xml:space="preserve">The all-new Altroz EV is derived from the Altroz hatchback, the first product built on the futuristic and versatile ‘Agile Light Flexible Advanced’ (ALFA) Architecture, and brings to life Tata Motors’ radical new approach to design. The Altroz EV is a premium urban car, which is configured to meet the constantly evolving aspirations of customers. </w:t>
      </w:r>
    </w:p>
    <w:p w:rsidR="00E6502D" w:rsidRPr="00162EBA" w:rsidRDefault="00E6502D" w:rsidP="00E6502D">
      <w:pPr>
        <w:pStyle w:val="NoSpacing"/>
        <w:jc w:val="both"/>
        <w:rPr>
          <w:rFonts w:ascii="Uni Neue Regular" w:hAnsi="Uni Neue Regular"/>
          <w:color w:val="000000" w:themeColor="text1"/>
          <w:sz w:val="20"/>
          <w:szCs w:val="20"/>
        </w:rPr>
      </w:pPr>
    </w:p>
    <w:p w:rsidR="00E6502D" w:rsidRPr="00162EBA" w:rsidRDefault="00E6502D" w:rsidP="00E6502D">
      <w:pPr>
        <w:pStyle w:val="NoSpacing"/>
        <w:jc w:val="both"/>
        <w:rPr>
          <w:rFonts w:ascii="Uni Neue Regular" w:hAnsi="Uni Neue Regular"/>
          <w:color w:val="000000" w:themeColor="text1"/>
          <w:sz w:val="20"/>
          <w:szCs w:val="20"/>
        </w:rPr>
      </w:pPr>
      <w:r w:rsidRPr="00162EBA">
        <w:rPr>
          <w:rFonts w:ascii="Uni Neue Regular" w:hAnsi="Uni Neue Regular"/>
          <w:color w:val="000000" w:themeColor="text1"/>
          <w:sz w:val="20"/>
          <w:szCs w:val="20"/>
        </w:rPr>
        <w:t>The Altroz EV’s Advanced Concept is based on the Altroz premium urban car, which builds on the lightweight, modular and flexible characteristics of the ALFA Architecture, which has the ability to evolve into a range of modern, youthful and agile vehicles in a short development cycle.</w:t>
      </w:r>
    </w:p>
    <w:p w:rsidR="00E6502D" w:rsidRPr="00162EBA" w:rsidRDefault="00E6502D" w:rsidP="00E6502D">
      <w:pPr>
        <w:pStyle w:val="NoSpacing"/>
        <w:jc w:val="both"/>
        <w:rPr>
          <w:rFonts w:ascii="Uni Neue Regular" w:hAnsi="Uni Neue Regular"/>
          <w:color w:val="000000" w:themeColor="text1"/>
          <w:sz w:val="20"/>
          <w:szCs w:val="20"/>
        </w:rPr>
      </w:pPr>
    </w:p>
    <w:p w:rsidR="00E6502D" w:rsidRPr="00162EBA" w:rsidRDefault="00E6502D" w:rsidP="00E6502D">
      <w:pPr>
        <w:pStyle w:val="NoSpacing"/>
        <w:jc w:val="both"/>
        <w:rPr>
          <w:rFonts w:ascii="Uni Neue Regular" w:hAnsi="Uni Neue Regular"/>
          <w:color w:val="000000" w:themeColor="text1"/>
          <w:sz w:val="20"/>
          <w:szCs w:val="20"/>
        </w:rPr>
      </w:pPr>
      <w:r w:rsidRPr="00162EBA">
        <w:rPr>
          <w:rFonts w:ascii="Uni Neue Regular" w:hAnsi="Uni Neue Regular"/>
          <w:color w:val="000000" w:themeColor="text1"/>
          <w:sz w:val="20"/>
          <w:szCs w:val="20"/>
        </w:rPr>
        <w:t>Building on the successful 45X concept of Auto Expo 2018, the Altroz EV is a dynamic vehicle that reinvents the city car and resets the rules for the industry catering to the maturing customer. With greater emphasis on bringing connectivity and everyday mobility together, the Altroz EV is an amalgamation of futuristic design, advanced technology, intuitive connectivity and great performance</w:t>
      </w:r>
      <w:r w:rsidR="008F4196" w:rsidRPr="00162EBA">
        <w:rPr>
          <w:rFonts w:ascii="Uni Neue Regular" w:hAnsi="Uni Neue Regular"/>
          <w:color w:val="000000" w:themeColor="text1"/>
          <w:sz w:val="20"/>
          <w:szCs w:val="20"/>
        </w:rPr>
        <w:t>.</w:t>
      </w:r>
    </w:p>
    <w:p w:rsidR="00E6502D" w:rsidRPr="00162EBA" w:rsidRDefault="00E6502D" w:rsidP="00E6502D">
      <w:pPr>
        <w:pStyle w:val="NoSpacing"/>
        <w:jc w:val="both"/>
        <w:rPr>
          <w:rFonts w:ascii="Uni Neue Regular" w:hAnsi="Uni Neue Regular"/>
          <w:b/>
          <w:color w:val="000000" w:themeColor="text1"/>
          <w:sz w:val="20"/>
          <w:szCs w:val="20"/>
        </w:rPr>
      </w:pPr>
    </w:p>
    <w:p w:rsidR="00E6502D" w:rsidRPr="00162EBA" w:rsidRDefault="00E6502D" w:rsidP="00E6502D">
      <w:pPr>
        <w:pStyle w:val="NoSpacing"/>
        <w:jc w:val="both"/>
        <w:rPr>
          <w:rFonts w:ascii="Uni Neue Regular" w:hAnsi="Uni Neue Regular"/>
          <w:b/>
          <w:color w:val="000000" w:themeColor="text1"/>
          <w:sz w:val="20"/>
          <w:szCs w:val="20"/>
        </w:rPr>
      </w:pPr>
      <w:r w:rsidRPr="00162EBA">
        <w:rPr>
          <w:rFonts w:ascii="Uni Neue Regular" w:hAnsi="Uni Neue Regular"/>
          <w:b/>
          <w:color w:val="000000" w:themeColor="text1"/>
          <w:sz w:val="20"/>
          <w:szCs w:val="20"/>
        </w:rPr>
        <w:t>Key highlights:</w:t>
      </w:r>
    </w:p>
    <w:p w:rsidR="00E6502D" w:rsidRPr="00162EBA" w:rsidRDefault="00E6502D" w:rsidP="00E6502D">
      <w:pPr>
        <w:pStyle w:val="NoSpacing"/>
        <w:numPr>
          <w:ilvl w:val="0"/>
          <w:numId w:val="1"/>
        </w:numPr>
        <w:jc w:val="both"/>
        <w:rPr>
          <w:rFonts w:ascii="Uni Neue Regular" w:hAnsi="Uni Neue Regular"/>
          <w:color w:val="000000" w:themeColor="text1"/>
          <w:sz w:val="20"/>
          <w:szCs w:val="20"/>
        </w:rPr>
      </w:pPr>
      <w:r w:rsidRPr="00162EBA">
        <w:rPr>
          <w:rFonts w:ascii="Uni Neue Regular" w:hAnsi="Uni Neue Regular"/>
          <w:color w:val="000000" w:themeColor="text1"/>
          <w:sz w:val="20"/>
          <w:szCs w:val="20"/>
        </w:rPr>
        <w:t>Energy efficient powertrain unit</w:t>
      </w:r>
    </w:p>
    <w:p w:rsidR="00E6502D" w:rsidRPr="00162EBA" w:rsidRDefault="00E6502D" w:rsidP="00E6502D">
      <w:pPr>
        <w:pStyle w:val="NoSpacing"/>
        <w:numPr>
          <w:ilvl w:val="0"/>
          <w:numId w:val="1"/>
        </w:numPr>
        <w:jc w:val="both"/>
        <w:rPr>
          <w:rFonts w:ascii="Uni Neue Regular" w:hAnsi="Uni Neue Regular"/>
          <w:color w:val="000000" w:themeColor="text1"/>
          <w:sz w:val="20"/>
          <w:szCs w:val="20"/>
        </w:rPr>
      </w:pPr>
      <w:r w:rsidRPr="00162EBA">
        <w:rPr>
          <w:rFonts w:ascii="Uni Neue Regular" w:hAnsi="Uni Neue Regular"/>
          <w:color w:val="000000" w:themeColor="text1"/>
          <w:sz w:val="20"/>
          <w:szCs w:val="20"/>
        </w:rPr>
        <w:t>High energy density battery pack offering superior range</w:t>
      </w:r>
    </w:p>
    <w:p w:rsidR="00E6502D" w:rsidRPr="00162EBA" w:rsidRDefault="00E6502D" w:rsidP="00E6502D">
      <w:pPr>
        <w:pStyle w:val="NoSpacing"/>
        <w:numPr>
          <w:ilvl w:val="0"/>
          <w:numId w:val="1"/>
        </w:numPr>
        <w:jc w:val="both"/>
        <w:rPr>
          <w:rFonts w:ascii="Uni Neue Regular" w:hAnsi="Uni Neue Regular"/>
          <w:color w:val="000000" w:themeColor="text1"/>
          <w:sz w:val="20"/>
          <w:szCs w:val="20"/>
        </w:rPr>
      </w:pPr>
      <w:r w:rsidRPr="00162EBA">
        <w:rPr>
          <w:rFonts w:ascii="Uni Neue Regular" w:hAnsi="Uni Neue Regular"/>
          <w:color w:val="000000" w:themeColor="text1"/>
          <w:sz w:val="20"/>
          <w:szCs w:val="20"/>
        </w:rPr>
        <w:t>Sporty silhouette, athletic stance and aerodynamic lines give the Altroz EV a feeling of agility</w:t>
      </w:r>
    </w:p>
    <w:p w:rsidR="00E6502D" w:rsidRPr="00162EBA" w:rsidRDefault="00E6502D" w:rsidP="00E6502D">
      <w:pPr>
        <w:pStyle w:val="NoSpacing"/>
        <w:numPr>
          <w:ilvl w:val="0"/>
          <w:numId w:val="1"/>
        </w:numPr>
        <w:jc w:val="both"/>
        <w:rPr>
          <w:rFonts w:ascii="Uni Neue Regular" w:hAnsi="Uni Neue Regular"/>
          <w:color w:val="000000" w:themeColor="text1"/>
          <w:sz w:val="20"/>
          <w:szCs w:val="20"/>
        </w:rPr>
      </w:pPr>
      <w:r w:rsidRPr="00162EBA">
        <w:rPr>
          <w:rFonts w:ascii="Uni Neue Regular" w:hAnsi="Uni Neue Regular"/>
          <w:color w:val="000000" w:themeColor="text1"/>
          <w:sz w:val="20"/>
          <w:szCs w:val="20"/>
        </w:rPr>
        <w:t>Signature humanity line accentuated by dual ultra slim LED headlamps, along with a digitally inspired lower grill give the front of the Altroz EV its signature look</w:t>
      </w:r>
    </w:p>
    <w:p w:rsidR="00E6502D" w:rsidRPr="00162EBA" w:rsidRDefault="00E6502D" w:rsidP="00E6502D">
      <w:pPr>
        <w:pStyle w:val="NoSpacing"/>
        <w:numPr>
          <w:ilvl w:val="0"/>
          <w:numId w:val="1"/>
        </w:numPr>
        <w:jc w:val="both"/>
        <w:rPr>
          <w:rFonts w:ascii="Uni Neue Regular" w:hAnsi="Uni Neue Regular"/>
          <w:color w:val="000000" w:themeColor="text1"/>
          <w:sz w:val="20"/>
          <w:szCs w:val="20"/>
        </w:rPr>
      </w:pPr>
      <w:r w:rsidRPr="00162EBA">
        <w:rPr>
          <w:rFonts w:ascii="Uni Neue Regular" w:hAnsi="Uni Neue Regular"/>
          <w:color w:val="000000" w:themeColor="text1"/>
          <w:sz w:val="20"/>
          <w:szCs w:val="20"/>
        </w:rPr>
        <w:t>The side profile features a unique arrowhead forming at the intersection of the A-pillar with the front door flowing into the one-of-a-kind comet tail-like swoosh element along the window line</w:t>
      </w:r>
    </w:p>
    <w:p w:rsidR="00E6502D" w:rsidRPr="00162EBA" w:rsidRDefault="00E6502D" w:rsidP="00E6502D">
      <w:pPr>
        <w:pStyle w:val="NoSpacing"/>
        <w:numPr>
          <w:ilvl w:val="0"/>
          <w:numId w:val="1"/>
        </w:numPr>
        <w:jc w:val="both"/>
        <w:rPr>
          <w:rFonts w:ascii="Uni Neue Regular" w:hAnsi="Uni Neue Regular"/>
          <w:color w:val="000000" w:themeColor="text1"/>
          <w:sz w:val="20"/>
          <w:szCs w:val="20"/>
        </w:rPr>
      </w:pPr>
      <w:r w:rsidRPr="00162EBA">
        <w:rPr>
          <w:rFonts w:ascii="Uni Neue Regular" w:hAnsi="Uni Neue Regular"/>
          <w:color w:val="000000" w:themeColor="text1"/>
          <w:sz w:val="20"/>
          <w:szCs w:val="20"/>
        </w:rPr>
        <w:t>The interiors of the Altroz EV have been laid out like a modern aero command centre with a seamless cockpit-like theme connected from end-to-end</w:t>
      </w:r>
    </w:p>
    <w:p w:rsidR="00E6502D" w:rsidRPr="00162EBA" w:rsidRDefault="00E6502D" w:rsidP="00E6502D">
      <w:pPr>
        <w:pStyle w:val="NoSpacing"/>
        <w:numPr>
          <w:ilvl w:val="0"/>
          <w:numId w:val="1"/>
        </w:numPr>
        <w:jc w:val="both"/>
        <w:rPr>
          <w:rFonts w:ascii="Uni Neue Regular" w:hAnsi="Uni Neue Regular"/>
          <w:color w:val="000000" w:themeColor="text1"/>
          <w:sz w:val="20"/>
          <w:szCs w:val="20"/>
        </w:rPr>
      </w:pPr>
      <w:r w:rsidRPr="00162EBA">
        <w:rPr>
          <w:rFonts w:ascii="Uni Neue Regular" w:hAnsi="Uni Neue Regular"/>
          <w:color w:val="000000" w:themeColor="text1"/>
          <w:sz w:val="20"/>
          <w:szCs w:val="20"/>
        </w:rPr>
        <w:t>The use of large coloured displays, enhanced haptics and premium materials gives a feeling of being in a premium environment from the future</w:t>
      </w:r>
    </w:p>
    <w:p w:rsidR="00E6502D" w:rsidRPr="00162EBA" w:rsidRDefault="00E6502D" w:rsidP="00E6502D">
      <w:pPr>
        <w:pStyle w:val="NoSpacing"/>
        <w:jc w:val="both"/>
        <w:rPr>
          <w:rFonts w:ascii="Uni Neue Regular" w:hAnsi="Uni Neue Regular"/>
          <w:color w:val="000000" w:themeColor="text1"/>
          <w:sz w:val="20"/>
          <w:szCs w:val="20"/>
        </w:rPr>
      </w:pPr>
    </w:p>
    <w:p w:rsidR="008F4196" w:rsidRPr="00162EBA" w:rsidRDefault="00E6502D" w:rsidP="00E6502D">
      <w:pPr>
        <w:pStyle w:val="NoSpacing"/>
        <w:jc w:val="both"/>
        <w:rPr>
          <w:rFonts w:ascii="Uni Neue Regular" w:hAnsi="Uni Neue Regular"/>
          <w:b/>
          <w:color w:val="000000" w:themeColor="text1"/>
          <w:sz w:val="20"/>
          <w:szCs w:val="20"/>
        </w:rPr>
      </w:pPr>
      <w:r w:rsidRPr="00162EBA">
        <w:rPr>
          <w:rFonts w:ascii="Uni Neue Regular" w:hAnsi="Uni Neue Regular"/>
          <w:b/>
          <w:color w:val="000000" w:themeColor="text1"/>
          <w:sz w:val="20"/>
          <w:szCs w:val="20"/>
        </w:rPr>
        <w:t>Technical Specifications:</w:t>
      </w:r>
    </w:p>
    <w:tbl>
      <w:tblPr>
        <w:tblW w:w="7409" w:type="dxa"/>
        <w:tblInd w:w="-5" w:type="dxa"/>
        <w:tblLook w:val="04A0" w:firstRow="1" w:lastRow="0" w:firstColumn="1" w:lastColumn="0" w:noHBand="0" w:noVBand="1"/>
      </w:tblPr>
      <w:tblGrid>
        <w:gridCol w:w="2425"/>
        <w:gridCol w:w="4984"/>
      </w:tblGrid>
      <w:tr w:rsidR="00E6502D" w:rsidRPr="00162EBA" w:rsidTr="00E83F87">
        <w:trPr>
          <w:trHeight w:val="292"/>
        </w:trPr>
        <w:tc>
          <w:tcPr>
            <w:tcW w:w="2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6502D" w:rsidRPr="00162EBA" w:rsidRDefault="00E6502D" w:rsidP="00E6502D">
            <w:pPr>
              <w:jc w:val="center"/>
              <w:rPr>
                <w:rFonts w:ascii="Uni Neue Regular" w:eastAsia="Times New Roman" w:hAnsi="Uni Neue Regular" w:cs="Times New Roman"/>
                <w:b/>
                <w:color w:val="000000" w:themeColor="text1"/>
                <w:sz w:val="20"/>
                <w:szCs w:val="20"/>
              </w:rPr>
            </w:pPr>
            <w:r w:rsidRPr="00162EBA">
              <w:rPr>
                <w:rFonts w:ascii="Uni Neue Regular" w:eastAsia="Times New Roman" w:hAnsi="Uni Neue Regular" w:cs="Times New Roman"/>
                <w:b/>
                <w:color w:val="000000" w:themeColor="text1"/>
                <w:sz w:val="20"/>
                <w:szCs w:val="20"/>
              </w:rPr>
              <w:t>Parameter</w:t>
            </w:r>
          </w:p>
        </w:tc>
        <w:tc>
          <w:tcPr>
            <w:tcW w:w="4984"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E6502D" w:rsidRPr="00162EBA" w:rsidRDefault="00E6502D" w:rsidP="00E6502D">
            <w:pPr>
              <w:jc w:val="center"/>
              <w:rPr>
                <w:rFonts w:ascii="Uni Neue Regular" w:eastAsia="Times New Roman" w:hAnsi="Uni Neue Regular" w:cs="Times New Roman"/>
                <w:b/>
                <w:color w:val="000000" w:themeColor="text1"/>
                <w:sz w:val="20"/>
                <w:szCs w:val="20"/>
              </w:rPr>
            </w:pPr>
            <w:r w:rsidRPr="00162EBA">
              <w:rPr>
                <w:rFonts w:ascii="Uni Neue Regular" w:eastAsia="Times New Roman" w:hAnsi="Uni Neue Regular" w:cs="Times New Roman"/>
                <w:b/>
                <w:color w:val="000000" w:themeColor="text1"/>
                <w:sz w:val="20"/>
                <w:szCs w:val="20"/>
              </w:rPr>
              <w:t>Description</w:t>
            </w:r>
          </w:p>
        </w:tc>
      </w:tr>
      <w:tr w:rsidR="00E6502D" w:rsidRPr="00162EBA" w:rsidTr="00E83F87">
        <w:trPr>
          <w:trHeight w:val="292"/>
        </w:trPr>
        <w:tc>
          <w:tcPr>
            <w:tcW w:w="2425" w:type="dxa"/>
            <w:tcBorders>
              <w:top w:val="nil"/>
              <w:left w:val="single" w:sz="4" w:space="0" w:color="auto"/>
              <w:bottom w:val="single" w:sz="4" w:space="0" w:color="auto"/>
              <w:right w:val="single" w:sz="4" w:space="0" w:color="auto"/>
            </w:tcBorders>
            <w:shd w:val="clear" w:color="auto" w:fill="auto"/>
          </w:tcPr>
          <w:p w:rsidR="00E6502D" w:rsidRPr="00162EBA" w:rsidRDefault="00E6502D" w:rsidP="00E6502D">
            <w:pPr>
              <w:pStyle w:val="Default"/>
              <w:jc w:val="center"/>
              <w:rPr>
                <w:rFonts w:ascii="Uni Neue Regular" w:hAnsi="Uni Neue Regular"/>
                <w:color w:val="000000" w:themeColor="text1"/>
                <w:sz w:val="20"/>
                <w:szCs w:val="20"/>
              </w:rPr>
            </w:pPr>
            <w:r w:rsidRPr="00162EBA">
              <w:rPr>
                <w:rFonts w:ascii="Uni Neue Regular" w:hAnsi="Uni Neue Regular"/>
                <w:color w:val="000000" w:themeColor="text1"/>
                <w:sz w:val="20"/>
                <w:szCs w:val="20"/>
              </w:rPr>
              <w:t>Motor and gearbox</w:t>
            </w:r>
          </w:p>
        </w:tc>
        <w:tc>
          <w:tcPr>
            <w:tcW w:w="4984" w:type="dxa"/>
            <w:tcBorders>
              <w:top w:val="nil"/>
              <w:left w:val="nil"/>
              <w:bottom w:val="single" w:sz="4" w:space="0" w:color="auto"/>
              <w:right w:val="single" w:sz="4" w:space="0" w:color="auto"/>
            </w:tcBorders>
            <w:shd w:val="clear" w:color="auto" w:fill="auto"/>
          </w:tcPr>
          <w:p w:rsidR="00E6502D" w:rsidRPr="00162EBA" w:rsidRDefault="00E6502D" w:rsidP="00E6502D">
            <w:pPr>
              <w:pStyle w:val="Default"/>
              <w:jc w:val="center"/>
              <w:rPr>
                <w:rFonts w:ascii="Uni Neue Regular" w:hAnsi="Uni Neue Regular"/>
                <w:color w:val="000000" w:themeColor="text1"/>
                <w:sz w:val="20"/>
                <w:szCs w:val="20"/>
              </w:rPr>
            </w:pPr>
            <w:r w:rsidRPr="00162EBA">
              <w:rPr>
                <w:rFonts w:ascii="Uni Neue Regular" w:hAnsi="Uni Neue Regular"/>
                <w:color w:val="000000" w:themeColor="text1"/>
                <w:sz w:val="20"/>
                <w:szCs w:val="20"/>
              </w:rPr>
              <w:t>Permanent Magnet AC Motor with Single Speed gearbox</w:t>
            </w:r>
          </w:p>
        </w:tc>
      </w:tr>
      <w:tr w:rsidR="00E6502D" w:rsidRPr="00162EBA" w:rsidTr="00E83F87">
        <w:trPr>
          <w:trHeight w:val="292"/>
        </w:trPr>
        <w:tc>
          <w:tcPr>
            <w:tcW w:w="2425" w:type="dxa"/>
            <w:tcBorders>
              <w:top w:val="nil"/>
              <w:left w:val="single" w:sz="4" w:space="0" w:color="auto"/>
              <w:bottom w:val="single" w:sz="4" w:space="0" w:color="auto"/>
              <w:right w:val="single" w:sz="4" w:space="0" w:color="auto"/>
            </w:tcBorders>
            <w:shd w:val="clear" w:color="auto" w:fill="auto"/>
          </w:tcPr>
          <w:p w:rsidR="00E6502D" w:rsidRPr="00162EBA" w:rsidRDefault="00E6502D" w:rsidP="00E6502D">
            <w:pPr>
              <w:pStyle w:val="Default"/>
              <w:jc w:val="center"/>
              <w:rPr>
                <w:rFonts w:ascii="Uni Neue Regular" w:hAnsi="Uni Neue Regular"/>
                <w:color w:val="000000" w:themeColor="text1"/>
                <w:sz w:val="20"/>
                <w:szCs w:val="20"/>
              </w:rPr>
            </w:pPr>
            <w:r w:rsidRPr="00162EBA">
              <w:rPr>
                <w:rFonts w:ascii="Uni Neue Regular" w:hAnsi="Uni Neue Regular"/>
                <w:color w:val="000000" w:themeColor="text1"/>
                <w:sz w:val="20"/>
                <w:szCs w:val="20"/>
              </w:rPr>
              <w:t>Charging time (0-80%)</w:t>
            </w:r>
          </w:p>
        </w:tc>
        <w:tc>
          <w:tcPr>
            <w:tcW w:w="4984" w:type="dxa"/>
            <w:tcBorders>
              <w:top w:val="nil"/>
              <w:left w:val="nil"/>
              <w:bottom w:val="single" w:sz="4" w:space="0" w:color="auto"/>
              <w:right w:val="single" w:sz="4" w:space="0" w:color="auto"/>
            </w:tcBorders>
            <w:shd w:val="clear" w:color="auto" w:fill="auto"/>
          </w:tcPr>
          <w:p w:rsidR="00E6502D" w:rsidRPr="00162EBA" w:rsidRDefault="00E6502D" w:rsidP="00E6502D">
            <w:pPr>
              <w:pStyle w:val="Default"/>
              <w:jc w:val="center"/>
              <w:rPr>
                <w:rFonts w:ascii="Uni Neue Regular" w:hAnsi="Uni Neue Regular"/>
                <w:color w:val="000000" w:themeColor="text1"/>
                <w:sz w:val="20"/>
                <w:szCs w:val="20"/>
              </w:rPr>
            </w:pPr>
            <w:r w:rsidRPr="00162EBA">
              <w:rPr>
                <w:rFonts w:ascii="Uni Neue Regular" w:hAnsi="Uni Neue Regular"/>
                <w:color w:val="000000" w:themeColor="text1"/>
                <w:sz w:val="20"/>
                <w:szCs w:val="20"/>
              </w:rPr>
              <w:t>60 minutes</w:t>
            </w:r>
          </w:p>
        </w:tc>
      </w:tr>
      <w:tr w:rsidR="00E6502D" w:rsidRPr="00162EBA" w:rsidTr="00E83F87">
        <w:trPr>
          <w:trHeight w:val="292"/>
        </w:trPr>
        <w:tc>
          <w:tcPr>
            <w:tcW w:w="2425" w:type="dxa"/>
            <w:tcBorders>
              <w:top w:val="nil"/>
              <w:left w:val="single" w:sz="4" w:space="0" w:color="auto"/>
              <w:bottom w:val="single" w:sz="4" w:space="0" w:color="auto"/>
              <w:right w:val="single" w:sz="4" w:space="0" w:color="auto"/>
            </w:tcBorders>
            <w:shd w:val="clear" w:color="auto" w:fill="auto"/>
          </w:tcPr>
          <w:p w:rsidR="00E6502D" w:rsidRPr="00162EBA" w:rsidRDefault="00E6502D" w:rsidP="00E6502D">
            <w:pPr>
              <w:pStyle w:val="Default"/>
              <w:jc w:val="center"/>
              <w:rPr>
                <w:rFonts w:ascii="Uni Neue Regular" w:hAnsi="Uni Neue Regular"/>
                <w:color w:val="000000" w:themeColor="text1"/>
                <w:sz w:val="20"/>
                <w:szCs w:val="20"/>
              </w:rPr>
            </w:pPr>
            <w:r w:rsidRPr="00162EBA">
              <w:rPr>
                <w:rFonts w:ascii="Uni Neue Regular" w:hAnsi="Uni Neue Regular"/>
                <w:color w:val="000000" w:themeColor="text1"/>
                <w:sz w:val="20"/>
                <w:szCs w:val="20"/>
              </w:rPr>
              <w:t>Targeted Range</w:t>
            </w:r>
          </w:p>
        </w:tc>
        <w:tc>
          <w:tcPr>
            <w:tcW w:w="4984" w:type="dxa"/>
            <w:tcBorders>
              <w:top w:val="nil"/>
              <w:left w:val="nil"/>
              <w:bottom w:val="single" w:sz="4" w:space="0" w:color="auto"/>
              <w:right w:val="single" w:sz="4" w:space="0" w:color="auto"/>
            </w:tcBorders>
            <w:shd w:val="clear" w:color="auto" w:fill="auto"/>
          </w:tcPr>
          <w:p w:rsidR="00E6502D" w:rsidRPr="00162EBA" w:rsidRDefault="00E6502D" w:rsidP="00E6502D">
            <w:pPr>
              <w:pStyle w:val="Default"/>
              <w:jc w:val="center"/>
              <w:rPr>
                <w:rFonts w:ascii="Uni Neue Regular" w:hAnsi="Uni Neue Regular"/>
                <w:color w:val="000000" w:themeColor="text1"/>
                <w:sz w:val="20"/>
                <w:szCs w:val="20"/>
              </w:rPr>
            </w:pPr>
            <w:r w:rsidRPr="00162EBA">
              <w:rPr>
                <w:rFonts w:ascii="Uni Neue Regular" w:hAnsi="Uni Neue Regular"/>
                <w:color w:val="000000" w:themeColor="text1"/>
                <w:sz w:val="20"/>
                <w:szCs w:val="20"/>
              </w:rPr>
              <w:t>250 - 300 km</w:t>
            </w:r>
          </w:p>
        </w:tc>
      </w:tr>
      <w:tr w:rsidR="00E6502D" w:rsidRPr="00162EBA" w:rsidTr="00E83F87">
        <w:trPr>
          <w:trHeight w:val="292"/>
        </w:trPr>
        <w:tc>
          <w:tcPr>
            <w:tcW w:w="2425" w:type="dxa"/>
            <w:tcBorders>
              <w:top w:val="nil"/>
              <w:left w:val="single" w:sz="4" w:space="0" w:color="auto"/>
              <w:bottom w:val="single" w:sz="4" w:space="0" w:color="auto"/>
              <w:right w:val="single" w:sz="4" w:space="0" w:color="auto"/>
            </w:tcBorders>
            <w:shd w:val="clear" w:color="auto" w:fill="auto"/>
            <w:hideMark/>
          </w:tcPr>
          <w:p w:rsidR="00E6502D" w:rsidRPr="00162EBA" w:rsidRDefault="00E6502D" w:rsidP="00E6502D">
            <w:pPr>
              <w:pStyle w:val="Default"/>
              <w:jc w:val="center"/>
              <w:rPr>
                <w:rFonts w:ascii="Uni Neue Regular" w:hAnsi="Uni Neue Regular"/>
                <w:color w:val="000000" w:themeColor="text1"/>
                <w:sz w:val="20"/>
                <w:szCs w:val="20"/>
              </w:rPr>
            </w:pPr>
            <w:r w:rsidRPr="00162EBA">
              <w:rPr>
                <w:rFonts w:ascii="Uni Neue Regular" w:hAnsi="Uni Neue Regular"/>
                <w:color w:val="000000" w:themeColor="text1"/>
                <w:sz w:val="20"/>
                <w:szCs w:val="20"/>
              </w:rPr>
              <w:t>Length (mm)</w:t>
            </w:r>
          </w:p>
        </w:tc>
        <w:tc>
          <w:tcPr>
            <w:tcW w:w="4984" w:type="dxa"/>
            <w:tcBorders>
              <w:top w:val="nil"/>
              <w:left w:val="nil"/>
              <w:bottom w:val="single" w:sz="4" w:space="0" w:color="auto"/>
              <w:right w:val="single" w:sz="4" w:space="0" w:color="auto"/>
            </w:tcBorders>
            <w:shd w:val="clear" w:color="auto" w:fill="auto"/>
            <w:hideMark/>
          </w:tcPr>
          <w:p w:rsidR="00E6502D" w:rsidRPr="00162EBA" w:rsidRDefault="00E6502D" w:rsidP="00E6502D">
            <w:pPr>
              <w:jc w:val="center"/>
              <w:rPr>
                <w:rFonts w:ascii="Uni Neue Regular" w:hAnsi="Uni Neue Regular" w:cs="Calibri"/>
                <w:color w:val="000000" w:themeColor="text1"/>
                <w:sz w:val="20"/>
                <w:szCs w:val="20"/>
              </w:rPr>
            </w:pPr>
            <w:r w:rsidRPr="00162EBA">
              <w:rPr>
                <w:rFonts w:ascii="Uni Neue Regular" w:hAnsi="Uni Neue Regular" w:cs="Calibri"/>
                <w:color w:val="000000" w:themeColor="text1"/>
                <w:sz w:val="20"/>
                <w:szCs w:val="20"/>
              </w:rPr>
              <w:t>3988</w:t>
            </w:r>
          </w:p>
        </w:tc>
      </w:tr>
      <w:tr w:rsidR="00E6502D" w:rsidRPr="00162EBA" w:rsidTr="00E83F87">
        <w:trPr>
          <w:trHeight w:val="292"/>
        </w:trPr>
        <w:tc>
          <w:tcPr>
            <w:tcW w:w="2425" w:type="dxa"/>
            <w:tcBorders>
              <w:top w:val="nil"/>
              <w:left w:val="single" w:sz="4" w:space="0" w:color="auto"/>
              <w:bottom w:val="single" w:sz="4" w:space="0" w:color="auto"/>
              <w:right w:val="single" w:sz="4" w:space="0" w:color="auto"/>
            </w:tcBorders>
            <w:shd w:val="clear" w:color="auto" w:fill="auto"/>
            <w:hideMark/>
          </w:tcPr>
          <w:p w:rsidR="00E6502D" w:rsidRPr="00162EBA" w:rsidRDefault="00E6502D" w:rsidP="00E6502D">
            <w:pPr>
              <w:pStyle w:val="Default"/>
              <w:jc w:val="center"/>
              <w:rPr>
                <w:rFonts w:ascii="Uni Neue Regular" w:hAnsi="Uni Neue Regular"/>
                <w:color w:val="000000" w:themeColor="text1"/>
                <w:sz w:val="20"/>
                <w:szCs w:val="20"/>
              </w:rPr>
            </w:pPr>
            <w:r w:rsidRPr="00162EBA">
              <w:rPr>
                <w:rFonts w:ascii="Uni Neue Regular" w:hAnsi="Uni Neue Regular"/>
                <w:color w:val="000000" w:themeColor="text1"/>
                <w:sz w:val="20"/>
                <w:szCs w:val="20"/>
              </w:rPr>
              <w:t>Width (mm)</w:t>
            </w:r>
          </w:p>
        </w:tc>
        <w:tc>
          <w:tcPr>
            <w:tcW w:w="4984" w:type="dxa"/>
            <w:tcBorders>
              <w:top w:val="nil"/>
              <w:left w:val="nil"/>
              <w:bottom w:val="single" w:sz="4" w:space="0" w:color="auto"/>
              <w:right w:val="single" w:sz="4" w:space="0" w:color="auto"/>
            </w:tcBorders>
            <w:shd w:val="clear" w:color="auto" w:fill="auto"/>
            <w:hideMark/>
          </w:tcPr>
          <w:p w:rsidR="00E6502D" w:rsidRPr="00162EBA" w:rsidRDefault="00E6502D" w:rsidP="00E6502D">
            <w:pPr>
              <w:jc w:val="center"/>
              <w:rPr>
                <w:rFonts w:ascii="Uni Neue Regular" w:hAnsi="Uni Neue Regular" w:cs="Calibri"/>
                <w:color w:val="000000" w:themeColor="text1"/>
                <w:sz w:val="20"/>
                <w:szCs w:val="20"/>
              </w:rPr>
            </w:pPr>
            <w:r w:rsidRPr="00162EBA">
              <w:rPr>
                <w:rFonts w:ascii="Uni Neue Regular" w:hAnsi="Uni Neue Regular" w:cs="Calibri"/>
                <w:color w:val="000000" w:themeColor="text1"/>
                <w:sz w:val="20"/>
                <w:szCs w:val="20"/>
              </w:rPr>
              <w:t>1754</w:t>
            </w:r>
          </w:p>
        </w:tc>
      </w:tr>
      <w:tr w:rsidR="00E6502D" w:rsidRPr="00162EBA" w:rsidTr="00E83F87">
        <w:trPr>
          <w:trHeight w:val="292"/>
        </w:trPr>
        <w:tc>
          <w:tcPr>
            <w:tcW w:w="2425" w:type="dxa"/>
            <w:tcBorders>
              <w:top w:val="nil"/>
              <w:left w:val="single" w:sz="4" w:space="0" w:color="auto"/>
              <w:bottom w:val="single" w:sz="4" w:space="0" w:color="auto"/>
              <w:right w:val="single" w:sz="4" w:space="0" w:color="auto"/>
            </w:tcBorders>
            <w:shd w:val="clear" w:color="auto" w:fill="auto"/>
            <w:hideMark/>
          </w:tcPr>
          <w:p w:rsidR="00E6502D" w:rsidRPr="00162EBA" w:rsidRDefault="00E6502D" w:rsidP="00E6502D">
            <w:pPr>
              <w:pStyle w:val="Default"/>
              <w:jc w:val="center"/>
              <w:rPr>
                <w:rFonts w:ascii="Uni Neue Regular" w:hAnsi="Uni Neue Regular"/>
                <w:color w:val="000000" w:themeColor="text1"/>
                <w:sz w:val="20"/>
                <w:szCs w:val="20"/>
              </w:rPr>
            </w:pPr>
            <w:r w:rsidRPr="00162EBA">
              <w:rPr>
                <w:rFonts w:ascii="Uni Neue Regular" w:hAnsi="Uni Neue Regular"/>
                <w:color w:val="000000" w:themeColor="text1"/>
                <w:sz w:val="20"/>
                <w:szCs w:val="20"/>
              </w:rPr>
              <w:t>Height (mm)</w:t>
            </w:r>
          </w:p>
        </w:tc>
        <w:tc>
          <w:tcPr>
            <w:tcW w:w="4984" w:type="dxa"/>
            <w:tcBorders>
              <w:top w:val="nil"/>
              <w:left w:val="nil"/>
              <w:bottom w:val="single" w:sz="4" w:space="0" w:color="auto"/>
              <w:right w:val="single" w:sz="4" w:space="0" w:color="auto"/>
            </w:tcBorders>
            <w:shd w:val="clear" w:color="auto" w:fill="auto"/>
            <w:hideMark/>
          </w:tcPr>
          <w:p w:rsidR="00E6502D" w:rsidRPr="00162EBA" w:rsidRDefault="00E6502D" w:rsidP="00E6502D">
            <w:pPr>
              <w:jc w:val="center"/>
              <w:rPr>
                <w:rFonts w:ascii="Uni Neue Regular" w:hAnsi="Uni Neue Regular" w:cs="Calibri"/>
                <w:color w:val="000000" w:themeColor="text1"/>
                <w:sz w:val="20"/>
                <w:szCs w:val="20"/>
              </w:rPr>
            </w:pPr>
            <w:r w:rsidRPr="00162EBA">
              <w:rPr>
                <w:rFonts w:ascii="Uni Neue Regular" w:hAnsi="Uni Neue Regular" w:cs="Calibri"/>
                <w:color w:val="000000" w:themeColor="text1"/>
                <w:sz w:val="20"/>
                <w:szCs w:val="20"/>
              </w:rPr>
              <w:t>1505</w:t>
            </w:r>
          </w:p>
        </w:tc>
      </w:tr>
      <w:tr w:rsidR="00E6502D" w:rsidRPr="00162EBA" w:rsidTr="00E83F87">
        <w:trPr>
          <w:trHeight w:val="292"/>
        </w:trPr>
        <w:tc>
          <w:tcPr>
            <w:tcW w:w="2425" w:type="dxa"/>
            <w:tcBorders>
              <w:top w:val="nil"/>
              <w:left w:val="single" w:sz="4" w:space="0" w:color="auto"/>
              <w:bottom w:val="single" w:sz="4" w:space="0" w:color="auto"/>
              <w:right w:val="single" w:sz="4" w:space="0" w:color="auto"/>
            </w:tcBorders>
            <w:shd w:val="clear" w:color="auto" w:fill="auto"/>
          </w:tcPr>
          <w:p w:rsidR="00E6502D" w:rsidRPr="00162EBA" w:rsidRDefault="00E6502D" w:rsidP="00E6502D">
            <w:pPr>
              <w:pStyle w:val="Default"/>
              <w:jc w:val="center"/>
              <w:rPr>
                <w:rFonts w:ascii="Uni Neue Regular" w:hAnsi="Uni Neue Regular"/>
                <w:color w:val="000000" w:themeColor="text1"/>
                <w:sz w:val="20"/>
                <w:szCs w:val="20"/>
              </w:rPr>
            </w:pPr>
            <w:r w:rsidRPr="00162EBA">
              <w:rPr>
                <w:rFonts w:ascii="Uni Neue Regular" w:hAnsi="Uni Neue Regular"/>
                <w:color w:val="000000" w:themeColor="text1"/>
                <w:sz w:val="20"/>
                <w:szCs w:val="20"/>
              </w:rPr>
              <w:t>Wheelbase (mm)</w:t>
            </w:r>
          </w:p>
        </w:tc>
        <w:tc>
          <w:tcPr>
            <w:tcW w:w="4984" w:type="dxa"/>
            <w:tcBorders>
              <w:top w:val="nil"/>
              <w:left w:val="nil"/>
              <w:bottom w:val="single" w:sz="4" w:space="0" w:color="auto"/>
              <w:right w:val="single" w:sz="4" w:space="0" w:color="auto"/>
            </w:tcBorders>
            <w:shd w:val="clear" w:color="auto" w:fill="auto"/>
          </w:tcPr>
          <w:p w:rsidR="00E6502D" w:rsidRPr="00162EBA" w:rsidRDefault="00E6502D" w:rsidP="00E6502D">
            <w:pPr>
              <w:jc w:val="center"/>
              <w:rPr>
                <w:rFonts w:ascii="Uni Neue Regular" w:hAnsi="Uni Neue Regular" w:cs="Calibri"/>
                <w:color w:val="000000" w:themeColor="text1"/>
                <w:sz w:val="20"/>
                <w:szCs w:val="20"/>
              </w:rPr>
            </w:pPr>
            <w:r w:rsidRPr="00162EBA">
              <w:rPr>
                <w:rFonts w:ascii="Uni Neue Regular" w:hAnsi="Uni Neue Regular" w:cs="Calibri"/>
                <w:color w:val="000000" w:themeColor="text1"/>
                <w:sz w:val="20"/>
                <w:szCs w:val="20"/>
              </w:rPr>
              <w:t>2501</w:t>
            </w:r>
          </w:p>
        </w:tc>
      </w:tr>
      <w:bookmarkEnd w:id="0"/>
    </w:tbl>
    <w:p w:rsidR="00006427" w:rsidRPr="00162EBA" w:rsidRDefault="00006427" w:rsidP="00E6502D">
      <w:pPr>
        <w:rPr>
          <w:rFonts w:ascii="Uni Neue Regular" w:hAnsi="Uni Neue Regular"/>
          <w:color w:val="000000" w:themeColor="text1"/>
          <w:sz w:val="20"/>
          <w:szCs w:val="20"/>
          <w:lang w:val="en-US"/>
        </w:rPr>
      </w:pPr>
    </w:p>
    <w:sectPr w:rsidR="00006427" w:rsidRPr="00162EBA" w:rsidSect="00006427">
      <w:headerReference w:type="even" r:id="rId7"/>
      <w:headerReference w:type="default" r:id="rId8"/>
      <w:footerReference w:type="even" r:id="rId9"/>
      <w:footerReference w:type="default" r:id="rId10"/>
      <w:headerReference w:type="first" r:id="rId11"/>
      <w:footerReference w:type="first" r:id="rId12"/>
      <w:pgSz w:w="11900" w:h="16840"/>
      <w:pgMar w:top="0" w:right="1440" w:bottom="1985" w:left="1440"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443" w:rsidRDefault="00AE4443" w:rsidP="00006427">
      <w:r>
        <w:separator/>
      </w:r>
    </w:p>
  </w:endnote>
  <w:endnote w:type="continuationSeparator" w:id="0">
    <w:p w:rsidR="00AE4443" w:rsidRDefault="00AE4443" w:rsidP="00006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Uni Neue Regular">
    <w:panose1 w:val="00000000000000000000"/>
    <w:charset w:val="00"/>
    <w:family w:val="modern"/>
    <w:notTrueType/>
    <w:pitch w:val="variable"/>
    <w:sig w:usb0="A00002EF" w:usb1="0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443" w:rsidRDefault="00AE4443" w:rsidP="00006427">
      <w:r>
        <w:separator/>
      </w:r>
    </w:p>
  </w:footnote>
  <w:footnote w:type="continuationSeparator" w:id="0">
    <w:p w:rsidR="00AE4443" w:rsidRDefault="00AE4443" w:rsidP="00006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427" w:rsidRDefault="00006427" w:rsidP="00006427">
    <w:pPr>
      <w:pStyle w:val="Header"/>
      <w:ind w:left="-1418"/>
    </w:pPr>
    <w:r>
      <w:rPr>
        <w:noProof/>
        <w:lang w:eastAsia="en-IN"/>
      </w:rPr>
      <w:drawing>
        <wp:anchor distT="0" distB="0" distL="114300" distR="114300" simplePos="0" relativeHeight="251658240" behindDoc="1" locked="0" layoutInCell="1" allowOverlap="1">
          <wp:simplePos x="0" y="0"/>
          <wp:positionH relativeFrom="column">
            <wp:posOffset>-901700</wp:posOffset>
          </wp:positionH>
          <wp:positionV relativeFrom="paragraph">
            <wp:posOffset>0</wp:posOffset>
          </wp:positionV>
          <wp:extent cx="7556335" cy="10680466"/>
          <wp:effectExtent l="0" t="0" r="63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duct Note.png"/>
                  <pic:cNvPicPr/>
                </pic:nvPicPr>
                <pic:blipFill>
                  <a:blip r:embed="rId1">
                    <a:extLst>
                      <a:ext uri="{28A0092B-C50C-407E-A947-70E740481C1C}">
                        <a14:useLocalDpi xmlns:a14="http://schemas.microsoft.com/office/drawing/2010/main" val="0"/>
                      </a:ext>
                    </a:extLst>
                  </a:blip>
                  <a:stretch>
                    <a:fillRect/>
                  </a:stretch>
                </pic:blipFill>
                <pic:spPr>
                  <a:xfrm>
                    <a:off x="0" y="0"/>
                    <a:ext cx="7556335" cy="10680466"/>
                  </a:xfrm>
                  <a:prstGeom prst="rect">
                    <a:avLst/>
                  </a:prstGeom>
                </pic:spPr>
              </pic:pic>
            </a:graphicData>
          </a:graphic>
          <wp14:sizeRelH relativeFrom="page">
            <wp14:pctWidth>0</wp14:pctWidth>
          </wp14:sizeRelH>
          <wp14:sizeRelV relativeFrom="page">
            <wp14:pctHeight>0</wp14:pctHeight>
          </wp14:sizeRelV>
        </wp:anchor>
      </w:drawing>
    </w: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p w:rsidR="00006427" w:rsidRDefault="00006427" w:rsidP="00006427">
    <w:pPr>
      <w:pStyle w:val="Header"/>
      <w:ind w:left="-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F89" w:rsidRDefault="0028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0A74C2"/>
    <w:multiLevelType w:val="hybridMultilevel"/>
    <w:tmpl w:val="06A66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27"/>
    <w:rsid w:val="00006427"/>
    <w:rsid w:val="00083288"/>
    <w:rsid w:val="000D078D"/>
    <w:rsid w:val="00115011"/>
    <w:rsid w:val="00162EBA"/>
    <w:rsid w:val="00262346"/>
    <w:rsid w:val="00282F89"/>
    <w:rsid w:val="002B32D8"/>
    <w:rsid w:val="002E48A5"/>
    <w:rsid w:val="003704AE"/>
    <w:rsid w:val="004407A9"/>
    <w:rsid w:val="00472060"/>
    <w:rsid w:val="007D6E32"/>
    <w:rsid w:val="00882F91"/>
    <w:rsid w:val="008F4196"/>
    <w:rsid w:val="00905960"/>
    <w:rsid w:val="00A66BEF"/>
    <w:rsid w:val="00AE4443"/>
    <w:rsid w:val="00CF357C"/>
    <w:rsid w:val="00D33337"/>
    <w:rsid w:val="00DB0F62"/>
    <w:rsid w:val="00E31BF8"/>
    <w:rsid w:val="00E6502D"/>
    <w:rsid w:val="00E90B4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E4AB70C-566C-5E40-B8C3-7279CF8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06427"/>
    <w:pPr>
      <w:tabs>
        <w:tab w:val="center" w:pos="4680"/>
        <w:tab w:val="right" w:pos="9360"/>
      </w:tabs>
    </w:pPr>
  </w:style>
  <w:style w:type="character" w:customStyle="1" w:styleId="FooterChar">
    <w:name w:val="Footer Char"/>
    <w:basedOn w:val="DefaultParagraphFont"/>
    <w:link w:val="Footer"/>
    <w:uiPriority w:val="99"/>
    <w:rsid w:val="00006427"/>
  </w:style>
  <w:style w:type="character" w:styleId="PageNumber">
    <w:name w:val="page number"/>
    <w:basedOn w:val="DefaultParagraphFont"/>
    <w:uiPriority w:val="99"/>
    <w:semiHidden/>
    <w:unhideWhenUsed/>
    <w:rsid w:val="00006427"/>
  </w:style>
  <w:style w:type="paragraph" w:styleId="Header">
    <w:name w:val="header"/>
    <w:basedOn w:val="Normal"/>
    <w:link w:val="HeaderChar"/>
    <w:uiPriority w:val="99"/>
    <w:unhideWhenUsed/>
    <w:rsid w:val="00006427"/>
    <w:pPr>
      <w:tabs>
        <w:tab w:val="center" w:pos="4680"/>
        <w:tab w:val="right" w:pos="9360"/>
      </w:tabs>
    </w:pPr>
  </w:style>
  <w:style w:type="character" w:customStyle="1" w:styleId="HeaderChar">
    <w:name w:val="Header Char"/>
    <w:basedOn w:val="DefaultParagraphFont"/>
    <w:link w:val="Header"/>
    <w:uiPriority w:val="99"/>
    <w:rsid w:val="00006427"/>
  </w:style>
  <w:style w:type="paragraph" w:styleId="NoSpacing">
    <w:name w:val="No Spacing"/>
    <w:uiPriority w:val="1"/>
    <w:qFormat/>
    <w:rsid w:val="00E6502D"/>
    <w:rPr>
      <w:sz w:val="22"/>
      <w:szCs w:val="22"/>
    </w:rPr>
  </w:style>
  <w:style w:type="paragraph" w:customStyle="1" w:styleId="Default">
    <w:name w:val="Default"/>
    <w:rsid w:val="00E6502D"/>
    <w:pPr>
      <w:widowControl w:val="0"/>
      <w:autoSpaceDE w:val="0"/>
      <w:autoSpaceDN w:val="0"/>
      <w:adjustRightInd w:val="0"/>
    </w:pPr>
    <w:rPr>
      <w:rFonts w:ascii="Helvetica" w:eastAsiaTheme="minorEastAsia" w:hAnsi="Helvetica" w:cs="Helvetica"/>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321</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Abhimanyu  Sikarwar</dc:creator>
  <cp:keywords/>
  <dc:description/>
  <cp:lastModifiedBy>Kaulgi Agasti [ Senior Manager , Mumbai Corporate , Mumbai ]</cp:lastModifiedBy>
  <cp:revision>5</cp:revision>
  <dcterms:created xsi:type="dcterms:W3CDTF">2020-02-03T14:03:00Z</dcterms:created>
  <dcterms:modified xsi:type="dcterms:W3CDTF">2020-02-04T14:48:00Z</dcterms:modified>
</cp:coreProperties>
</file>